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BC14B" w14:textId="77777777" w:rsidR="00F07BB6" w:rsidRDefault="00F07BB6" w:rsidP="002A4692">
      <w:pPr>
        <w:rPr>
          <w:rFonts w:ascii="Arial" w:hAnsi="Arial" w:cs="Arial"/>
          <w:b/>
          <w:sz w:val="32"/>
        </w:rPr>
      </w:pPr>
    </w:p>
    <w:p w14:paraId="446349AA" w14:textId="77777777" w:rsidR="002A4692" w:rsidRDefault="0059787F" w:rsidP="002A4692">
      <w:pPr>
        <w:rPr>
          <w:rFonts w:ascii="Arial" w:hAnsi="Arial" w:cs="Arial"/>
          <w:b/>
          <w:sz w:val="32"/>
        </w:rPr>
      </w:pPr>
      <w:r>
        <w:rPr>
          <w:rFonts w:ascii="Arial" w:hAnsi="Arial" w:cs="Arial"/>
          <w:b/>
          <w:sz w:val="32"/>
        </w:rPr>
        <w:t>Childhood Eye Cancer Trust (CHECT) Research Grant Final Report (end of grant report)</w:t>
      </w:r>
    </w:p>
    <w:p w14:paraId="300DDC6B" w14:textId="77777777" w:rsidR="00883F75" w:rsidRDefault="00883F75">
      <w:pPr>
        <w:rPr>
          <w:rFonts w:ascii="Arial" w:hAnsi="Arial" w:cs="Arial"/>
        </w:rPr>
      </w:pPr>
    </w:p>
    <w:p w14:paraId="1ECDD0A9" w14:textId="77777777" w:rsidR="00883F75" w:rsidRDefault="00883F75">
      <w:pPr>
        <w:rPr>
          <w:rFonts w:ascii="Arial" w:hAnsi="Arial" w:cs="Arial"/>
        </w:rPr>
      </w:pPr>
      <w:r>
        <w:rPr>
          <w:rFonts w:ascii="Arial" w:hAnsi="Arial" w:cs="Arial"/>
        </w:rPr>
        <w:t xml:space="preserve">Please complete all sections of this report and return to </w:t>
      </w:r>
      <w:hyperlink r:id="rId11" w:history="1">
        <w:r>
          <w:rPr>
            <w:rStyle w:val="Hyperlink"/>
            <w:rFonts w:ascii="Arial" w:hAnsi="Arial" w:cs="Arial"/>
          </w:rPr>
          <w:t>petra.maxwell@chect.org.uk</w:t>
        </w:r>
      </w:hyperlink>
      <w:r>
        <w:rPr>
          <w:rFonts w:ascii="Arial" w:hAnsi="Arial" w:cs="Arial"/>
        </w:rPr>
        <w:t xml:space="preserve">. </w:t>
      </w:r>
    </w:p>
    <w:p w14:paraId="58CAAA6D" w14:textId="77777777" w:rsidR="002A4692" w:rsidRDefault="002A4692">
      <w:pPr>
        <w:rPr>
          <w:rFonts w:ascii="Arial" w:hAnsi="Arial" w:cs="Arial"/>
        </w:rPr>
      </w:pPr>
    </w:p>
    <w:tbl>
      <w:tblPr>
        <w:tblStyle w:val="TableGrid"/>
        <w:tblW w:w="0" w:type="auto"/>
        <w:tblLook w:val="04A0" w:firstRow="1" w:lastRow="0" w:firstColumn="1" w:lastColumn="0" w:noHBand="0" w:noVBand="1"/>
      </w:tblPr>
      <w:tblGrid>
        <w:gridCol w:w="1980"/>
        <w:gridCol w:w="2834"/>
        <w:gridCol w:w="1560"/>
        <w:gridCol w:w="3254"/>
      </w:tblGrid>
      <w:tr w:rsidR="00883F75" w14:paraId="029B2AE2" w14:textId="77777777" w:rsidTr="00EB6A7C">
        <w:trPr>
          <w:trHeight w:val="510"/>
        </w:trPr>
        <w:tc>
          <w:tcPr>
            <w:tcW w:w="1980" w:type="dxa"/>
            <w:shd w:val="clear" w:color="auto" w:fill="F2F2F2" w:themeFill="background1" w:themeFillShade="F2"/>
            <w:vAlign w:val="center"/>
          </w:tcPr>
          <w:p w14:paraId="71F8F8ED" w14:textId="77777777" w:rsidR="00883F75" w:rsidRDefault="00883F75" w:rsidP="00990D2A">
            <w:pPr>
              <w:rPr>
                <w:rFonts w:ascii="Arial" w:hAnsi="Arial" w:cs="Arial"/>
              </w:rPr>
            </w:pPr>
            <w:r>
              <w:rPr>
                <w:rFonts w:ascii="Arial" w:hAnsi="Arial" w:cs="Arial"/>
              </w:rPr>
              <w:t>Project title:</w:t>
            </w:r>
          </w:p>
        </w:tc>
        <w:tc>
          <w:tcPr>
            <w:tcW w:w="7648" w:type="dxa"/>
            <w:gridSpan w:val="3"/>
            <w:vAlign w:val="center"/>
          </w:tcPr>
          <w:p w14:paraId="77729A6C" w14:textId="77777777" w:rsidR="00883F75" w:rsidRDefault="00883F75" w:rsidP="00990D2A">
            <w:pPr>
              <w:rPr>
                <w:rFonts w:ascii="Arial" w:hAnsi="Arial" w:cs="Arial"/>
              </w:rPr>
            </w:pPr>
            <w:r>
              <w:rPr>
                <w:rFonts w:ascii="Arial" w:hAnsi="Arial" w:cs="Arial"/>
              </w:rPr>
              <w:t xml:space="preserve">Prognostic stratification and early detection of relapsed retinoblastoma using aqueous </w:t>
            </w:r>
            <w:proofErr w:type="spellStart"/>
            <w:r>
              <w:rPr>
                <w:rFonts w:ascii="Arial" w:hAnsi="Arial" w:cs="Arial"/>
              </w:rPr>
              <w:t>humor</w:t>
            </w:r>
            <w:proofErr w:type="spellEnd"/>
            <w:r>
              <w:rPr>
                <w:rFonts w:ascii="Arial" w:hAnsi="Arial" w:cs="Arial"/>
              </w:rPr>
              <w:t xml:space="preserve"> based cfDNA screening</w:t>
            </w:r>
          </w:p>
        </w:tc>
      </w:tr>
      <w:tr w:rsidR="00883F75" w14:paraId="727A5D3A" w14:textId="77777777" w:rsidTr="00EB6A7C">
        <w:trPr>
          <w:trHeight w:val="510"/>
        </w:trPr>
        <w:tc>
          <w:tcPr>
            <w:tcW w:w="1980" w:type="dxa"/>
            <w:shd w:val="clear" w:color="auto" w:fill="F2F2F2" w:themeFill="background1" w:themeFillShade="F2"/>
            <w:vAlign w:val="center"/>
          </w:tcPr>
          <w:p w14:paraId="15C8C724" w14:textId="77777777" w:rsidR="00883F75" w:rsidRDefault="00EB6A7C" w:rsidP="00990D2A">
            <w:pPr>
              <w:rPr>
                <w:rFonts w:ascii="Arial" w:hAnsi="Arial" w:cs="Arial"/>
              </w:rPr>
            </w:pPr>
            <w:r>
              <w:rPr>
                <w:rFonts w:ascii="Arial" w:hAnsi="Arial" w:cs="Arial"/>
              </w:rPr>
              <w:t>Project reference:</w:t>
            </w:r>
          </w:p>
        </w:tc>
        <w:tc>
          <w:tcPr>
            <w:tcW w:w="7648" w:type="dxa"/>
            <w:gridSpan w:val="3"/>
            <w:vAlign w:val="center"/>
          </w:tcPr>
          <w:p w14:paraId="528C7BE8" w14:textId="3E6F3153" w:rsidR="00883F75" w:rsidRPr="00E25632" w:rsidRDefault="00E25632" w:rsidP="004A226C">
            <w:pPr>
              <w:rPr>
                <w:rFonts w:ascii="Arial" w:hAnsi="Arial" w:cs="Arial"/>
              </w:rPr>
            </w:pPr>
            <w:r w:rsidRPr="00E25632">
              <w:rPr>
                <w:rFonts w:ascii="Arial" w:hAnsi="Arial" w:cs="Arial"/>
              </w:rPr>
              <w:t>24/01/Yellapantula/1</w:t>
            </w:r>
          </w:p>
        </w:tc>
      </w:tr>
      <w:tr w:rsidR="00EB6A7C" w14:paraId="687830AB" w14:textId="77777777" w:rsidTr="00EB6A7C">
        <w:trPr>
          <w:trHeight w:val="510"/>
        </w:trPr>
        <w:tc>
          <w:tcPr>
            <w:tcW w:w="1980" w:type="dxa"/>
            <w:shd w:val="clear" w:color="auto" w:fill="F2F2F2" w:themeFill="background1" w:themeFillShade="F2"/>
            <w:vAlign w:val="center"/>
          </w:tcPr>
          <w:p w14:paraId="5B577421" w14:textId="77777777" w:rsidR="00EB6A7C" w:rsidRDefault="00EB6A7C" w:rsidP="00990D2A">
            <w:pPr>
              <w:rPr>
                <w:rFonts w:ascii="Arial" w:hAnsi="Arial" w:cs="Arial"/>
              </w:rPr>
            </w:pPr>
            <w:r>
              <w:rPr>
                <w:rFonts w:ascii="Arial" w:hAnsi="Arial" w:cs="Arial"/>
              </w:rPr>
              <w:t>Total award:</w:t>
            </w:r>
          </w:p>
        </w:tc>
        <w:tc>
          <w:tcPr>
            <w:tcW w:w="7648" w:type="dxa"/>
            <w:gridSpan w:val="3"/>
            <w:shd w:val="clear" w:color="auto" w:fill="FFFFFF" w:themeFill="background1"/>
            <w:vAlign w:val="center"/>
          </w:tcPr>
          <w:p w14:paraId="450EEBC8" w14:textId="77777777" w:rsidR="00EB6A7C" w:rsidRDefault="00EB6A7C" w:rsidP="00990D2A">
            <w:pPr>
              <w:rPr>
                <w:rFonts w:ascii="Arial" w:hAnsi="Arial" w:cs="Arial"/>
              </w:rPr>
            </w:pPr>
            <w:r>
              <w:rPr>
                <w:rFonts w:ascii="Arial" w:hAnsi="Arial" w:cs="Arial"/>
              </w:rPr>
              <w:t>£50,000</w:t>
            </w:r>
          </w:p>
        </w:tc>
      </w:tr>
      <w:tr w:rsidR="006911C7" w14:paraId="6296F8D9" w14:textId="77777777" w:rsidTr="00EB6A7C">
        <w:trPr>
          <w:trHeight w:val="510"/>
        </w:trPr>
        <w:tc>
          <w:tcPr>
            <w:tcW w:w="1980" w:type="dxa"/>
            <w:shd w:val="clear" w:color="auto" w:fill="F2F2F2" w:themeFill="background1" w:themeFillShade="F2"/>
            <w:vAlign w:val="center"/>
          </w:tcPr>
          <w:p w14:paraId="65F0083B" w14:textId="77777777" w:rsidR="006911C7" w:rsidRDefault="006911C7" w:rsidP="00990D2A">
            <w:pPr>
              <w:rPr>
                <w:rFonts w:ascii="Arial" w:hAnsi="Arial" w:cs="Arial"/>
              </w:rPr>
            </w:pPr>
            <w:r>
              <w:rPr>
                <w:rFonts w:ascii="Arial" w:hAnsi="Arial" w:cs="Arial"/>
              </w:rPr>
              <w:t>Details of any additional funding:</w:t>
            </w:r>
          </w:p>
        </w:tc>
        <w:tc>
          <w:tcPr>
            <w:tcW w:w="7648" w:type="dxa"/>
            <w:gridSpan w:val="3"/>
            <w:shd w:val="clear" w:color="auto" w:fill="FFFFFF" w:themeFill="background1"/>
            <w:vAlign w:val="center"/>
          </w:tcPr>
          <w:p w14:paraId="44789FCB" w14:textId="77777777" w:rsidR="006911C7" w:rsidRDefault="006911C7" w:rsidP="00990D2A">
            <w:pPr>
              <w:rPr>
                <w:rFonts w:ascii="Arial" w:hAnsi="Arial" w:cs="Arial"/>
              </w:rPr>
            </w:pPr>
            <w:r>
              <w:rPr>
                <w:rFonts w:ascii="Arial" w:hAnsi="Arial" w:cs="Arial"/>
              </w:rPr>
              <w:t>None</w:t>
            </w:r>
          </w:p>
        </w:tc>
      </w:tr>
      <w:tr w:rsidR="00883F75" w14:paraId="158E2D86" w14:textId="77777777" w:rsidTr="00922A4F">
        <w:tc>
          <w:tcPr>
            <w:tcW w:w="1980" w:type="dxa"/>
            <w:shd w:val="clear" w:color="auto" w:fill="F2F2F2" w:themeFill="background1" w:themeFillShade="F2"/>
            <w:vAlign w:val="center"/>
          </w:tcPr>
          <w:p w14:paraId="54D58F52" w14:textId="77777777" w:rsidR="00883F75" w:rsidRDefault="00883F75" w:rsidP="00922A4F">
            <w:pPr>
              <w:rPr>
                <w:rFonts w:ascii="Arial" w:hAnsi="Arial" w:cs="Arial"/>
              </w:rPr>
            </w:pPr>
            <w:r>
              <w:rPr>
                <w:rFonts w:ascii="Arial" w:hAnsi="Arial" w:cs="Arial"/>
              </w:rPr>
              <w:t>Lead investigator:</w:t>
            </w:r>
          </w:p>
        </w:tc>
        <w:tc>
          <w:tcPr>
            <w:tcW w:w="2834" w:type="dxa"/>
            <w:vAlign w:val="center"/>
          </w:tcPr>
          <w:p w14:paraId="1FE82B9C" w14:textId="77777777" w:rsidR="00883F75" w:rsidRDefault="00883F75" w:rsidP="00922A4F">
            <w:pPr>
              <w:rPr>
                <w:rFonts w:ascii="Arial" w:hAnsi="Arial" w:cs="Arial"/>
              </w:rPr>
            </w:pPr>
            <w:r>
              <w:rPr>
                <w:rFonts w:ascii="Arial" w:hAnsi="Arial" w:cs="Arial"/>
              </w:rPr>
              <w:t>Venkata Yellapantula, PhD</w:t>
            </w:r>
          </w:p>
        </w:tc>
        <w:tc>
          <w:tcPr>
            <w:tcW w:w="1560" w:type="dxa"/>
            <w:shd w:val="clear" w:color="auto" w:fill="F2F2F2" w:themeFill="background1" w:themeFillShade="F2"/>
          </w:tcPr>
          <w:p w14:paraId="28DDCBF3" w14:textId="77777777" w:rsidR="00883F75" w:rsidRDefault="00883F75">
            <w:pPr>
              <w:rPr>
                <w:rFonts w:ascii="Arial" w:hAnsi="Arial" w:cs="Arial"/>
              </w:rPr>
            </w:pPr>
            <w:r>
              <w:rPr>
                <w:rFonts w:ascii="Arial" w:hAnsi="Arial" w:cs="Arial"/>
              </w:rPr>
              <w:t>Administering institution:</w:t>
            </w:r>
          </w:p>
        </w:tc>
        <w:tc>
          <w:tcPr>
            <w:tcW w:w="3254" w:type="dxa"/>
            <w:vAlign w:val="center"/>
          </w:tcPr>
          <w:p w14:paraId="5FE5FFAB" w14:textId="5374E3F2" w:rsidR="00883F75" w:rsidRDefault="00883F75" w:rsidP="00922A4F">
            <w:pPr>
              <w:rPr>
                <w:rFonts w:ascii="Arial" w:hAnsi="Arial" w:cs="Arial"/>
              </w:rPr>
            </w:pPr>
            <w:r>
              <w:rPr>
                <w:rFonts w:ascii="Arial" w:hAnsi="Arial" w:cs="Arial"/>
              </w:rPr>
              <w:t xml:space="preserve">Children's Hospital Los Angeles </w:t>
            </w:r>
          </w:p>
        </w:tc>
      </w:tr>
      <w:tr w:rsidR="00883F75" w14:paraId="54AD2F12" w14:textId="77777777" w:rsidTr="00922A4F">
        <w:tc>
          <w:tcPr>
            <w:tcW w:w="1980" w:type="dxa"/>
            <w:shd w:val="clear" w:color="auto" w:fill="F2F2F2" w:themeFill="background1" w:themeFillShade="F2"/>
          </w:tcPr>
          <w:p w14:paraId="0A751E76" w14:textId="77777777" w:rsidR="00883F75" w:rsidRDefault="00883F75">
            <w:pPr>
              <w:rPr>
                <w:rFonts w:ascii="Arial" w:hAnsi="Arial" w:cs="Arial"/>
              </w:rPr>
            </w:pPr>
            <w:r>
              <w:rPr>
                <w:rFonts w:ascii="Arial" w:hAnsi="Arial" w:cs="Arial"/>
              </w:rPr>
              <w:t>Start date of award:</w:t>
            </w:r>
          </w:p>
        </w:tc>
        <w:tc>
          <w:tcPr>
            <w:tcW w:w="2834" w:type="dxa"/>
            <w:vAlign w:val="center"/>
          </w:tcPr>
          <w:p w14:paraId="4A1E51DC" w14:textId="77777777" w:rsidR="00883F75" w:rsidRDefault="00883F75" w:rsidP="00922A4F">
            <w:pPr>
              <w:rPr>
                <w:rFonts w:ascii="Arial" w:hAnsi="Arial" w:cs="Arial"/>
              </w:rPr>
            </w:pPr>
            <w:r>
              <w:rPr>
                <w:rFonts w:ascii="Arial" w:hAnsi="Arial" w:cs="Arial"/>
              </w:rPr>
              <w:t>1 July 2024</w:t>
            </w:r>
          </w:p>
        </w:tc>
        <w:tc>
          <w:tcPr>
            <w:tcW w:w="1560" w:type="dxa"/>
            <w:shd w:val="clear" w:color="auto" w:fill="F2F2F2" w:themeFill="background1" w:themeFillShade="F2"/>
          </w:tcPr>
          <w:p w14:paraId="08373938" w14:textId="77777777" w:rsidR="00883F75" w:rsidRDefault="00883F75">
            <w:pPr>
              <w:rPr>
                <w:rFonts w:ascii="Arial" w:hAnsi="Arial" w:cs="Arial"/>
              </w:rPr>
            </w:pPr>
            <w:r>
              <w:rPr>
                <w:rFonts w:ascii="Arial" w:hAnsi="Arial" w:cs="Arial"/>
              </w:rPr>
              <w:t>End date of award:</w:t>
            </w:r>
          </w:p>
        </w:tc>
        <w:tc>
          <w:tcPr>
            <w:tcW w:w="3254" w:type="dxa"/>
            <w:vAlign w:val="center"/>
          </w:tcPr>
          <w:p w14:paraId="499ADA15" w14:textId="77777777" w:rsidR="00883F75" w:rsidRDefault="00883F75" w:rsidP="00922A4F">
            <w:pPr>
              <w:rPr>
                <w:rFonts w:ascii="Arial" w:hAnsi="Arial" w:cs="Arial"/>
              </w:rPr>
            </w:pPr>
            <w:r>
              <w:rPr>
                <w:rFonts w:ascii="Arial" w:hAnsi="Arial" w:cs="Arial"/>
              </w:rPr>
              <w:t>30 June 2026</w:t>
            </w:r>
          </w:p>
        </w:tc>
      </w:tr>
    </w:tbl>
    <w:p w14:paraId="12F39E68" w14:textId="77777777" w:rsidR="00883F75" w:rsidRDefault="00883F75">
      <w:pPr>
        <w:rPr>
          <w:rFonts w:ascii="Arial" w:hAnsi="Arial" w:cs="Arial"/>
        </w:rPr>
      </w:pPr>
    </w:p>
    <w:p w14:paraId="2710BF98" w14:textId="77777777" w:rsidR="009B1C0E" w:rsidRDefault="009B1C0E" w:rsidP="009B1C0E">
      <w:pPr>
        <w:pStyle w:val="ListParagraph"/>
        <w:ind w:left="360"/>
        <w:rPr>
          <w:rFonts w:ascii="Arial" w:hAnsi="Arial" w:cs="Arial"/>
          <w:b/>
        </w:rPr>
      </w:pPr>
    </w:p>
    <w:p w14:paraId="4892EC75" w14:textId="77777777" w:rsidR="00A12699" w:rsidRPr="00A12699" w:rsidRDefault="002A4692" w:rsidP="00883F75">
      <w:pPr>
        <w:pStyle w:val="ListParagraph"/>
        <w:numPr>
          <w:ilvl w:val="0"/>
          <w:numId w:val="1"/>
        </w:numPr>
        <w:rPr>
          <w:rFonts w:ascii="Arial" w:hAnsi="Arial" w:cs="Arial"/>
          <w:b/>
        </w:rPr>
      </w:pPr>
      <w:r>
        <w:rPr>
          <w:rFonts w:ascii="Arial" w:hAnsi="Arial" w:cs="Arial"/>
          <w:b/>
        </w:rPr>
        <w:t xml:space="preserve">Final Report </w:t>
      </w:r>
    </w:p>
    <w:p w14:paraId="47860DDC" w14:textId="77777777" w:rsidR="00883F75" w:rsidRDefault="00883F75" w:rsidP="00A12699">
      <w:pPr>
        <w:pStyle w:val="ListParagraph"/>
        <w:ind w:left="360"/>
        <w:rPr>
          <w:rFonts w:ascii="Arial" w:hAnsi="Arial" w:cs="Arial"/>
        </w:rPr>
      </w:pPr>
      <w:r>
        <w:rPr>
          <w:rFonts w:ascii="Arial" w:hAnsi="Arial" w:cs="Arial"/>
        </w:rPr>
        <w:t>Please structure your report as follows:</w:t>
      </w:r>
    </w:p>
    <w:p w14:paraId="7CCE8417" w14:textId="77777777" w:rsidR="009B1C0E" w:rsidRDefault="009B1C0E" w:rsidP="00A12699">
      <w:pPr>
        <w:pStyle w:val="ListParagraph"/>
        <w:ind w:left="360"/>
        <w:rPr>
          <w:rFonts w:ascii="Arial" w:hAnsi="Arial" w:cs="Arial"/>
        </w:rPr>
      </w:pPr>
    </w:p>
    <w:p w14:paraId="19AE5806" w14:textId="77777777" w:rsidR="00883F75" w:rsidRDefault="00883F75" w:rsidP="00883F75">
      <w:pPr>
        <w:pStyle w:val="ListParagraph"/>
        <w:numPr>
          <w:ilvl w:val="1"/>
          <w:numId w:val="1"/>
        </w:numPr>
        <w:rPr>
          <w:rFonts w:ascii="Arial" w:hAnsi="Arial" w:cs="Arial"/>
        </w:rPr>
      </w:pPr>
      <w:r>
        <w:rPr>
          <w:rFonts w:ascii="Arial" w:hAnsi="Arial" w:cs="Arial"/>
        </w:rPr>
        <w:t>Summary of findings/results/outcomes of this project (with reference to the aims and objectives stated in your original application).</w:t>
      </w:r>
    </w:p>
    <w:p w14:paraId="5073A6C9" w14:textId="77777777" w:rsidR="00883F75" w:rsidRDefault="00883F75" w:rsidP="00883F75">
      <w:pPr>
        <w:pStyle w:val="ListParagraph"/>
        <w:numPr>
          <w:ilvl w:val="1"/>
          <w:numId w:val="1"/>
        </w:numPr>
        <w:rPr>
          <w:rFonts w:ascii="Arial" w:hAnsi="Arial" w:cs="Arial"/>
        </w:rPr>
      </w:pPr>
      <w:r>
        <w:rPr>
          <w:rFonts w:ascii="Arial" w:hAnsi="Arial" w:cs="Arial"/>
        </w:rPr>
        <w:t xml:space="preserve">If your aims and objectives changed </w:t>
      </w:r>
      <w:proofErr w:type="gramStart"/>
      <w:r>
        <w:rPr>
          <w:rFonts w:ascii="Arial" w:hAnsi="Arial" w:cs="Arial"/>
        </w:rPr>
        <w:t>during the course of</w:t>
      </w:r>
      <w:proofErr w:type="gramEnd"/>
      <w:r>
        <w:rPr>
          <w:rFonts w:ascii="Arial" w:hAnsi="Arial" w:cs="Arial"/>
        </w:rPr>
        <w:t xml:space="preserve"> the project, please explain why and in what way.</w:t>
      </w:r>
    </w:p>
    <w:p w14:paraId="7FD2473B" w14:textId="77777777" w:rsidR="00A12699" w:rsidRPr="00EF023A" w:rsidRDefault="00A12699" w:rsidP="00883F75">
      <w:pPr>
        <w:pStyle w:val="ListParagraph"/>
        <w:numPr>
          <w:ilvl w:val="1"/>
          <w:numId w:val="1"/>
        </w:numPr>
        <w:rPr>
          <w:rFonts w:ascii="Arial" w:hAnsi="Arial" w:cs="Arial"/>
        </w:rPr>
      </w:pPr>
      <w:r>
        <w:rPr>
          <w:rFonts w:ascii="Arial" w:hAnsi="Arial" w:cs="Arial"/>
        </w:rPr>
        <w:t xml:space="preserve">Any problems or challenges impacting on the findings / results / outcomes of this project. </w:t>
      </w:r>
    </w:p>
    <w:p w14:paraId="410396F3" w14:textId="77777777" w:rsidR="009B1C0E" w:rsidRPr="00EF023A" w:rsidRDefault="00A12699" w:rsidP="000E5D4A">
      <w:pPr>
        <w:pStyle w:val="ListParagraph"/>
        <w:numPr>
          <w:ilvl w:val="1"/>
          <w:numId w:val="1"/>
        </w:numPr>
        <w:rPr>
          <w:rFonts w:ascii="Arial" w:hAnsi="Arial" w:cs="Arial"/>
        </w:rPr>
      </w:pPr>
      <w:r>
        <w:rPr>
          <w:rFonts w:ascii="Arial" w:hAnsi="Arial" w:cs="Arial"/>
        </w:rPr>
        <w:t>How will these findings or outcomes impact patients or the public, and in what timescale? Do you foresee any obstacles / barriers to patients benefitting from the research findings?</w:t>
      </w:r>
    </w:p>
    <w:p w14:paraId="41C2AD23" w14:textId="77777777" w:rsidR="009B1C0E" w:rsidRPr="009B1C0E" w:rsidRDefault="009B1C0E" w:rsidP="009B1C0E">
      <w:pPr>
        <w:pStyle w:val="ListParagraph"/>
        <w:ind w:left="1080"/>
        <w:rPr>
          <w:rFonts w:ascii="Arial" w:hAnsi="Arial" w:cs="Arial"/>
        </w:rPr>
      </w:pPr>
    </w:p>
    <w:p w14:paraId="6478EEC8" w14:textId="77777777"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b/>
        </w:rPr>
        <w:t>a. Summary of findings, results and outcomes</w:t>
      </w:r>
    </w:p>
    <w:p w14:paraId="0E6D4B0C" w14:textId="77777777"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The project set out to determine whether cell-free DNA (cfDNA) in aqueous </w:t>
      </w:r>
      <w:proofErr w:type="spellStart"/>
      <w:r>
        <w:rPr>
          <w:rFonts w:ascii="Arial" w:hAnsi="Arial" w:cs="Arial"/>
        </w:rPr>
        <w:t>humor</w:t>
      </w:r>
      <w:proofErr w:type="spellEnd"/>
      <w:r>
        <w:rPr>
          <w:rFonts w:ascii="Arial" w:hAnsi="Arial" w:cs="Arial"/>
        </w:rPr>
        <w:t xml:space="preserve"> (AH) can inform prognosis and disease monitoring in retinoblastoma (RB), using a retrospective cohort of diagnostic and serial AH samples profiled by low-pass whole-genome sequencing. The three aims stated in the original application, and their outcomes, are summarised below.</w:t>
      </w:r>
    </w:p>
    <w:p w14:paraId="009FBA74" w14:textId="77777777" w:rsidR="00B363F2" w:rsidRDefault="00B363F2" w:rsidP="00A12699">
      <w:pPr>
        <w:pBdr>
          <w:top w:val="single" w:sz="4" w:space="1" w:color="auto"/>
          <w:left w:val="single" w:sz="4" w:space="4" w:color="auto"/>
          <w:bottom w:val="single" w:sz="4" w:space="1" w:color="auto"/>
          <w:right w:val="single" w:sz="4" w:space="4" w:color="auto"/>
        </w:pBdr>
        <w:rPr>
          <w:rFonts w:ascii="Arial" w:hAnsi="Arial" w:cs="Arial"/>
        </w:rPr>
      </w:pPr>
    </w:p>
    <w:p w14:paraId="11E4BD6A" w14:textId="1ADFD61A"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b/>
        </w:rPr>
        <w:t xml:space="preserve">Aim 3 (achieved; principal output of the award). </w:t>
      </w:r>
      <w:r>
        <w:rPr>
          <w:rFonts w:ascii="Arial" w:hAnsi="Arial" w:cs="Arial"/>
        </w:rPr>
        <w:t xml:space="preserve">Can high-risk RB </w:t>
      </w:r>
      <w:proofErr w:type="spellStart"/>
      <w:r w:rsidR="00B363F2">
        <w:rPr>
          <w:rFonts w:ascii="Arial" w:hAnsi="Arial" w:cs="Arial"/>
        </w:rPr>
        <w:t>ie</w:t>
      </w:r>
      <w:proofErr w:type="spellEnd"/>
      <w:r w:rsidR="00B363F2">
        <w:rPr>
          <w:rFonts w:ascii="Arial" w:hAnsi="Arial" w:cs="Arial"/>
        </w:rPr>
        <w:t>.</w:t>
      </w:r>
      <w:r>
        <w:rPr>
          <w:rFonts w:ascii="Arial" w:hAnsi="Arial" w:cs="Arial"/>
        </w:rPr>
        <w:t xml:space="preserve"> eyes at risk of enucleation be identified through AH tumour fraction (</w:t>
      </w:r>
      <w:proofErr w:type="spellStart"/>
      <w:r>
        <w:rPr>
          <w:rFonts w:ascii="Arial" w:hAnsi="Arial" w:cs="Arial"/>
        </w:rPr>
        <w:t>TFx</w:t>
      </w:r>
      <w:proofErr w:type="spellEnd"/>
      <w:r>
        <w:rPr>
          <w:rFonts w:ascii="Arial" w:hAnsi="Arial" w:cs="Arial"/>
        </w:rPr>
        <w:t xml:space="preserve">), genomic aberrations, chromosomal instability, or a combination of these features? Diagnostic AH samples from 67 eyes, all collected at examination under anaesthesia before any therapeutic intervention, were profiled; 57 eyes undergoing globe-preserving therapy formed the primary analytical cohort, with outcomes (31 Good Responders, 26 Poor Responders) assigned by an ocular oncologist masked to genomic data. At least one copy-number alteration was detected in 54 of 57 diagnostic samples (95%). Three markers were independently associated with Poor Responder outcome after permutation-based correction for multiple testing: chromosome 16q loss (OR 11.90, adjusted P&lt;0.001), chromosome 1q gain (OR 6.38, adjusted P=0.006) and high tumour fraction, dichotomised at a data-driven threshold of 31.1% (OR 5.90, adjusted P=0.012), whereas AJCC clinical stage reached only trend-level </w:t>
      </w:r>
      <w:r>
        <w:rPr>
          <w:rFonts w:ascii="Arial" w:hAnsi="Arial" w:cs="Arial"/>
        </w:rPr>
        <w:lastRenderedPageBreak/>
        <w:t>association. In multivariate analysis, a composite High-Risk CNA Score (16q loss and/or 1q gain) and tumour fraction each retained independent significance, and stratifying eyes by these two features produced an ordered four-group gradient in Poor Responder rate from 13.3% (neither feature) to 77.3% (both features; Cochran-Armitage P&lt;0.001). The two-marker molecular model achieved an AUC of 0.792 (95% CI 0.674–0.904); adding AJCC stage did not significantly improve discrimination, indicating that these molecular features carry prognostic information not captured by conventional staging. A manuscript reporting these findings is prepared and will be submitted shortly.</w:t>
      </w:r>
    </w:p>
    <w:p w14:paraId="6D1E0AFA" w14:textId="77777777" w:rsidR="00B363F2" w:rsidRDefault="00B363F2" w:rsidP="00A12699">
      <w:pPr>
        <w:pBdr>
          <w:top w:val="single" w:sz="4" w:space="1" w:color="auto"/>
          <w:left w:val="single" w:sz="4" w:space="4" w:color="auto"/>
          <w:bottom w:val="single" w:sz="4" w:space="1" w:color="auto"/>
          <w:right w:val="single" w:sz="4" w:space="4" w:color="auto"/>
        </w:pBdr>
        <w:rPr>
          <w:rFonts w:ascii="Arial" w:hAnsi="Arial" w:cs="Arial"/>
        </w:rPr>
      </w:pPr>
    </w:p>
    <w:p w14:paraId="0F434BE0" w14:textId="531661C7"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b/>
        </w:rPr>
        <w:t xml:space="preserve">Aim 1 (partially supported by the retrospective cohort). </w:t>
      </w:r>
      <w:r>
        <w:rPr>
          <w:rFonts w:ascii="Arial" w:hAnsi="Arial" w:cs="Arial"/>
        </w:rPr>
        <w:t xml:space="preserve">Can </w:t>
      </w:r>
      <w:proofErr w:type="spellStart"/>
      <w:r>
        <w:rPr>
          <w:rFonts w:ascii="Arial" w:hAnsi="Arial" w:cs="Arial"/>
        </w:rPr>
        <w:t>TFx</w:t>
      </w:r>
      <w:proofErr w:type="spellEnd"/>
      <w:r>
        <w:rPr>
          <w:rFonts w:ascii="Arial" w:hAnsi="Arial" w:cs="Arial"/>
        </w:rPr>
        <w:t xml:space="preserve"> in AH at the end of therapy inform prognosis for intraocular RB? In 29 eyes with paired diagnostic and end-of-chemotherapy/IAC samples, tumour fraction fell in 23 of 29 (median 0.19 to 0.02, P=5.7×10⁻⁵), establishing AH </w:t>
      </w:r>
      <w:proofErr w:type="spellStart"/>
      <w:r>
        <w:rPr>
          <w:rFonts w:ascii="Arial" w:hAnsi="Arial" w:cs="Arial"/>
        </w:rPr>
        <w:t>TFx</w:t>
      </w:r>
      <w:proofErr w:type="spellEnd"/>
      <w:r>
        <w:rPr>
          <w:rFonts w:ascii="Arial" w:hAnsi="Arial" w:cs="Arial"/>
        </w:rPr>
        <w:t xml:space="preserve"> as a quantitative measure of treatment response. Residual </w:t>
      </w:r>
      <w:proofErr w:type="spellStart"/>
      <w:r>
        <w:rPr>
          <w:rFonts w:ascii="Arial" w:hAnsi="Arial" w:cs="Arial"/>
        </w:rPr>
        <w:t>TFx</w:t>
      </w:r>
      <w:proofErr w:type="spellEnd"/>
      <w:r>
        <w:rPr>
          <w:rFonts w:ascii="Arial" w:hAnsi="Arial" w:cs="Arial"/>
        </w:rPr>
        <w:t xml:space="preserve"> at the end of chemotherapy/IAC was higher in eyes that subsequently failed (median 0.056 vs 0.002), and 6 of 7 failures showed persistent detectable </w:t>
      </w:r>
      <w:proofErr w:type="spellStart"/>
      <w:r>
        <w:rPr>
          <w:rFonts w:ascii="Arial" w:hAnsi="Arial" w:cs="Arial"/>
        </w:rPr>
        <w:t>TFx</w:t>
      </w:r>
      <w:proofErr w:type="spellEnd"/>
      <w:r>
        <w:rPr>
          <w:rFonts w:ascii="Arial" w:hAnsi="Arial" w:cs="Arial"/>
        </w:rPr>
        <w:t xml:space="preserve">, but with only 7 evaluable events the confidence intervals include the null. Change-score metrics were uninformative: both groups clear a similar proportion of their tumour fraction and differ in what remains. Residual detectable </w:t>
      </w:r>
      <w:proofErr w:type="spellStart"/>
      <w:r>
        <w:rPr>
          <w:rFonts w:ascii="Arial" w:hAnsi="Arial" w:cs="Arial"/>
        </w:rPr>
        <w:t>TFx</w:t>
      </w:r>
      <w:proofErr w:type="spellEnd"/>
      <w:r>
        <w:rPr>
          <w:rFonts w:ascii="Arial" w:hAnsi="Arial" w:cs="Arial"/>
        </w:rPr>
        <w:t xml:space="preserve"> at the end of chemotherapy/IAC therefore has the potential to identify eyes at elevated risk of subsequent failure, but prospective confirmation is </w:t>
      </w:r>
      <w:r w:rsidR="00185791">
        <w:rPr>
          <w:rFonts w:ascii="Arial" w:hAnsi="Arial" w:cs="Arial"/>
        </w:rPr>
        <w:t>a future goal</w:t>
      </w:r>
      <w:r>
        <w:rPr>
          <w:rFonts w:ascii="Arial" w:hAnsi="Arial" w:cs="Arial"/>
        </w:rPr>
        <w:t>.</w:t>
      </w:r>
    </w:p>
    <w:p w14:paraId="454EF324" w14:textId="77777777" w:rsidR="00B363F2" w:rsidRDefault="00B363F2" w:rsidP="00A12699">
      <w:pPr>
        <w:pBdr>
          <w:top w:val="single" w:sz="4" w:space="1" w:color="auto"/>
          <w:left w:val="single" w:sz="4" w:space="4" w:color="auto"/>
          <w:bottom w:val="single" w:sz="4" w:space="1" w:color="auto"/>
          <w:right w:val="single" w:sz="4" w:space="4" w:color="auto"/>
        </w:pBdr>
        <w:rPr>
          <w:rFonts w:ascii="Arial" w:hAnsi="Arial" w:cs="Arial"/>
        </w:rPr>
      </w:pPr>
    </w:p>
    <w:p w14:paraId="23C284FA" w14:textId="4397E84A"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b/>
        </w:rPr>
        <w:t xml:space="preserve">Aim 2 (not supported in the retrospective cohort). </w:t>
      </w:r>
      <w:r>
        <w:rPr>
          <w:rFonts w:ascii="Arial" w:hAnsi="Arial" w:cs="Arial"/>
        </w:rPr>
        <w:t xml:space="preserve">Can detectable cfDNA in serial AH liquid biopsies indicate early relapse? Detectable </w:t>
      </w:r>
      <w:proofErr w:type="spellStart"/>
      <w:r>
        <w:rPr>
          <w:rFonts w:ascii="Arial" w:hAnsi="Arial" w:cs="Arial"/>
        </w:rPr>
        <w:t>TFx</w:t>
      </w:r>
      <w:proofErr w:type="spellEnd"/>
      <w:r>
        <w:rPr>
          <w:rFonts w:ascii="Arial" w:hAnsi="Arial" w:cs="Arial"/>
        </w:rPr>
        <w:t xml:space="preserve"> preceded recurrence in 9 of 11 recurring eyes, but approximately two thirds of eyes that never relapsed also had at least one detectable surveillance draw (sensitivity ~0.80 at specificity ~0.34). Aligning eyes at their final draw, recurring eyes were statistically indistinguishable from responders at every preceding timepoint and separated only at the recurrence sample itself, which is concurrent with clinical detection and provides no lead time. By contrast, eyes proceeding to secondary enucleation were separable before any event on every measure of residual disease (e.g., minimum </w:t>
      </w:r>
      <w:proofErr w:type="spellStart"/>
      <w:r>
        <w:rPr>
          <w:rFonts w:ascii="Arial" w:hAnsi="Arial" w:cs="Arial"/>
        </w:rPr>
        <w:t>TFx</w:t>
      </w:r>
      <w:proofErr w:type="spellEnd"/>
      <w:r>
        <w:rPr>
          <w:rFonts w:ascii="Arial" w:hAnsi="Arial" w:cs="Arial"/>
        </w:rPr>
        <w:t xml:space="preserve"> P=0.0003), indicating that failure to achieve molecular clearance</w:t>
      </w:r>
      <w:r w:rsidR="00B363F2">
        <w:rPr>
          <w:rFonts w:ascii="Arial" w:hAnsi="Arial" w:cs="Arial"/>
        </w:rPr>
        <w:t xml:space="preserve">, </w:t>
      </w:r>
      <w:r>
        <w:rPr>
          <w:rFonts w:ascii="Arial" w:hAnsi="Arial" w:cs="Arial"/>
        </w:rPr>
        <w:t>rather than a rise from baseline</w:t>
      </w:r>
      <w:r w:rsidR="00B363F2">
        <w:rPr>
          <w:rFonts w:ascii="Arial" w:hAnsi="Arial" w:cs="Arial"/>
        </w:rPr>
        <w:t xml:space="preserve">, </w:t>
      </w:r>
      <w:r>
        <w:rPr>
          <w:rFonts w:ascii="Arial" w:hAnsi="Arial" w:cs="Arial"/>
        </w:rPr>
        <w:t>is the informative phenotype. This converges with the Aim 1 finding that residual level, not trajectory, carries the prognostic signal.</w:t>
      </w:r>
    </w:p>
    <w:p w14:paraId="787431ED" w14:textId="77777777" w:rsidR="00F07BB6" w:rsidRDefault="00F07BB6" w:rsidP="00A12699">
      <w:pPr>
        <w:pBdr>
          <w:top w:val="single" w:sz="4" w:space="1" w:color="auto"/>
          <w:left w:val="single" w:sz="4" w:space="4" w:color="auto"/>
          <w:bottom w:val="single" w:sz="4" w:space="1" w:color="auto"/>
          <w:right w:val="single" w:sz="4" w:space="4" w:color="auto"/>
        </w:pBdr>
        <w:rPr>
          <w:rFonts w:ascii="Arial" w:hAnsi="Arial" w:cs="Arial"/>
        </w:rPr>
      </w:pPr>
    </w:p>
    <w:p w14:paraId="1CAC3966" w14:textId="77777777" w:rsidR="00F07BB6" w:rsidRDefault="00F07BB6" w:rsidP="00A12699">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b/>
        </w:rPr>
        <w:t>b. Changes to aims and objectives</w:t>
      </w:r>
    </w:p>
    <w:p w14:paraId="1622D1E7" w14:textId="1C8B34D0" w:rsidR="00F07BB6" w:rsidRDefault="00F07BB6" w:rsidP="00A12699">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The aims themselves were unchanged; two analytical refinements were made. For Aim 1, the prognostic anchor was moved from the end-of-treatment draw to the end-of-chemotherapy/IAC draw</w:t>
      </w:r>
      <w:r w:rsidR="00185791">
        <w:rPr>
          <w:rFonts w:ascii="Arial" w:hAnsi="Arial" w:cs="Arial"/>
        </w:rPr>
        <w:t>. This is</w:t>
      </w:r>
      <w:r>
        <w:rPr>
          <w:rFonts w:ascii="Arial" w:hAnsi="Arial" w:cs="Arial"/>
        </w:rPr>
        <w:t xml:space="preserve"> because in the retrospective cohort</w:t>
      </w:r>
      <w:r w:rsidR="00185791">
        <w:rPr>
          <w:rFonts w:ascii="Arial" w:hAnsi="Arial" w:cs="Arial"/>
        </w:rPr>
        <w:t>,</w:t>
      </w:r>
      <w:r>
        <w:rPr>
          <w:rFonts w:ascii="Arial" w:hAnsi="Arial" w:cs="Arial"/>
        </w:rPr>
        <w:t xml:space="preserve"> recurrence was already clinically documented before the end-of-treatment sample in 4 of the 5 evaluable eyes, so that timepoint cannot support a predictive claim; the end-of-chemotherapy/IAC draw precedes the recurrence event in all evaluable eyes. For Aim 3, analysis was performed at the diagnostic timepoint, before any therapeutic intervention, rather than across treatment: this maximises cfDNA yield, reflects intrinsic tumour biology rather than differential treatment response, and is the timepoint at which molecular risk stratification would be clinically actionable.</w:t>
      </w:r>
    </w:p>
    <w:p w14:paraId="50DB4835" w14:textId="77777777"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p>
    <w:p w14:paraId="076E096D" w14:textId="77777777" w:rsidR="00A51B94" w:rsidRDefault="004D59CA">
      <w:pPr>
        <w:pBdr>
          <w:top w:val="single" w:sz="4" w:space="1" w:color="auto"/>
          <w:left w:val="single" w:sz="4" w:space="4" w:color="auto"/>
          <w:bottom w:val="single" w:sz="4" w:space="1" w:color="auto"/>
          <w:right w:val="single" w:sz="4" w:space="4" w:color="auto"/>
        </w:pBdr>
        <w:rPr>
          <w:rFonts w:ascii="Arial" w:hAnsi="Arial" w:cs="Arial"/>
          <w:b/>
        </w:rPr>
      </w:pPr>
      <w:r>
        <w:rPr>
          <w:rFonts w:ascii="Arial" w:hAnsi="Arial" w:cs="Arial"/>
          <w:b/>
        </w:rPr>
        <w:t>c. Problems or challenges</w:t>
      </w:r>
    </w:p>
    <w:p w14:paraId="51822AA0" w14:textId="77777777" w:rsidR="00D357BC" w:rsidRDefault="00D357BC">
      <w:pPr>
        <w:pBdr>
          <w:top w:val="single" w:sz="4" w:space="1" w:color="auto"/>
          <w:left w:val="single" w:sz="4" w:space="4" w:color="auto"/>
          <w:bottom w:val="single" w:sz="4" w:space="1" w:color="auto"/>
          <w:right w:val="single" w:sz="4" w:space="4" w:color="auto"/>
        </w:pBdr>
        <w:rPr>
          <w:rFonts w:ascii="Arial" w:hAnsi="Arial" w:cs="Arial"/>
          <w:b/>
        </w:rPr>
      </w:pPr>
    </w:p>
    <w:p w14:paraId="516A7E9E" w14:textId="77777777" w:rsidR="00D357BC" w:rsidRDefault="00D357BC" w:rsidP="00D357BC">
      <w:pPr>
        <w:pBdr>
          <w:top w:val="single" w:sz="4" w:space="1" w:color="auto"/>
          <w:left w:val="single" w:sz="4" w:space="4" w:color="auto"/>
          <w:bottom w:val="single" w:sz="4" w:space="1" w:color="auto"/>
          <w:right w:val="single" w:sz="4" w:space="4" w:color="auto"/>
        </w:pBdr>
        <w:rPr>
          <w:rFonts w:ascii="Arial" w:hAnsi="Arial" w:cs="Arial"/>
        </w:rPr>
      </w:pPr>
      <w:r w:rsidRPr="00D357BC">
        <w:rPr>
          <w:rFonts w:ascii="Arial" w:hAnsi="Arial" w:cs="Arial"/>
        </w:rPr>
        <w:t>(</w:t>
      </w:r>
      <w:proofErr w:type="spellStart"/>
      <w:r w:rsidRPr="00D357BC">
        <w:rPr>
          <w:rFonts w:ascii="Arial" w:hAnsi="Arial" w:cs="Arial"/>
        </w:rPr>
        <w:t>i</w:t>
      </w:r>
      <w:proofErr w:type="spellEnd"/>
      <w:r w:rsidRPr="00D357BC">
        <w:rPr>
          <w:rFonts w:ascii="Arial" w:hAnsi="Arial" w:cs="Arial"/>
        </w:rPr>
        <w:t>) Retinoblastoma is rare and event numbers are correspondingly small: the composite failure endpoint for Aims 1 and 2 comprises 16 events across 57 eyes, of which only 7 are evaluable at the end of chemotherapy/IAC, so estimates at that timepoint carry wide confidence intervals; Aim 3, with 26 Poor Responders, is adequately powered for the associations reported. Pooling events across centres, rather than longer single-site follow-up, is the route to resolving the end-of-chemotherapy/IAC question.</w:t>
      </w:r>
    </w:p>
    <w:p w14:paraId="3DF0208E" w14:textId="77777777" w:rsidR="00D357BC" w:rsidRPr="00D357BC" w:rsidRDefault="00D357BC" w:rsidP="00D357BC">
      <w:pPr>
        <w:pBdr>
          <w:top w:val="single" w:sz="4" w:space="1" w:color="auto"/>
          <w:left w:val="single" w:sz="4" w:space="4" w:color="auto"/>
          <w:bottom w:val="single" w:sz="4" w:space="1" w:color="auto"/>
          <w:right w:val="single" w:sz="4" w:space="4" w:color="auto"/>
        </w:pBdr>
        <w:rPr>
          <w:rFonts w:ascii="Arial" w:hAnsi="Arial" w:cs="Arial"/>
        </w:rPr>
      </w:pPr>
    </w:p>
    <w:p w14:paraId="7D8857CD" w14:textId="5D6B223A" w:rsidR="00D357BC" w:rsidRDefault="00D357BC" w:rsidP="00D357BC">
      <w:pPr>
        <w:pBdr>
          <w:top w:val="single" w:sz="4" w:space="1" w:color="auto"/>
          <w:left w:val="single" w:sz="4" w:space="4" w:color="auto"/>
          <w:bottom w:val="single" w:sz="4" w:space="1" w:color="auto"/>
          <w:right w:val="single" w:sz="4" w:space="4" w:color="auto"/>
        </w:pBdr>
        <w:rPr>
          <w:rFonts w:ascii="Arial" w:hAnsi="Arial" w:cs="Arial"/>
        </w:rPr>
      </w:pPr>
      <w:r w:rsidRPr="00D357BC">
        <w:rPr>
          <w:rFonts w:ascii="Arial" w:hAnsi="Arial" w:cs="Arial"/>
        </w:rPr>
        <w:t xml:space="preserve">(ii) AH sampling is clinically triggered rather than scheduled and is not obtained at every examination — draws cluster around episodes of clinical concern, so sampling density is itself a </w:t>
      </w:r>
      <w:r w:rsidRPr="00D357BC">
        <w:rPr>
          <w:rFonts w:ascii="Arial" w:hAnsi="Arial" w:cs="Arial"/>
        </w:rPr>
        <w:lastRenderedPageBreak/>
        <w:t>marker of clinical suspicion and partly confounds any apparent pre-event molecular signal. Scheduled surveillance is more realistically achieved in plasma, which can be drawn at fixed intervals independent of ocular procedures (Section 7).</w:t>
      </w:r>
    </w:p>
    <w:p w14:paraId="2A3A2AB3" w14:textId="77777777" w:rsidR="00D357BC" w:rsidRPr="00D357BC" w:rsidRDefault="00D357BC" w:rsidP="00D357BC">
      <w:pPr>
        <w:pBdr>
          <w:top w:val="single" w:sz="4" w:space="1" w:color="auto"/>
          <w:left w:val="single" w:sz="4" w:space="4" w:color="auto"/>
          <w:bottom w:val="single" w:sz="4" w:space="1" w:color="auto"/>
          <w:right w:val="single" w:sz="4" w:space="4" w:color="auto"/>
        </w:pBdr>
        <w:rPr>
          <w:rFonts w:ascii="Arial" w:hAnsi="Arial" w:cs="Arial"/>
        </w:rPr>
      </w:pPr>
    </w:p>
    <w:p w14:paraId="729D3C98" w14:textId="77777777" w:rsidR="00D357BC" w:rsidRDefault="00D357BC" w:rsidP="00D357BC">
      <w:pPr>
        <w:pBdr>
          <w:top w:val="single" w:sz="4" w:space="1" w:color="auto"/>
          <w:left w:val="single" w:sz="4" w:space="4" w:color="auto"/>
          <w:bottom w:val="single" w:sz="4" w:space="1" w:color="auto"/>
          <w:right w:val="single" w:sz="4" w:space="4" w:color="auto"/>
        </w:pBdr>
        <w:rPr>
          <w:rFonts w:ascii="Arial" w:hAnsi="Arial" w:cs="Arial"/>
        </w:rPr>
      </w:pPr>
      <w:r w:rsidRPr="00D357BC">
        <w:rPr>
          <w:rFonts w:ascii="Arial" w:hAnsi="Arial" w:cs="Arial"/>
        </w:rPr>
        <w:t>(iii) All data derive from a single institution operating one treatment protocol; external validation is required, and the growth in referral testing at our centre offers a practical route to it.</w:t>
      </w:r>
    </w:p>
    <w:p w14:paraId="49D55771" w14:textId="77777777" w:rsidR="00D357BC" w:rsidRPr="00D357BC" w:rsidRDefault="00D357BC" w:rsidP="00D357BC">
      <w:pPr>
        <w:pBdr>
          <w:top w:val="single" w:sz="4" w:space="1" w:color="auto"/>
          <w:left w:val="single" w:sz="4" w:space="4" w:color="auto"/>
          <w:bottom w:val="single" w:sz="4" w:space="1" w:color="auto"/>
          <w:right w:val="single" w:sz="4" w:space="4" w:color="auto"/>
        </w:pBdr>
        <w:rPr>
          <w:rFonts w:ascii="Arial" w:hAnsi="Arial" w:cs="Arial"/>
        </w:rPr>
      </w:pPr>
    </w:p>
    <w:p w14:paraId="5F415D92" w14:textId="152A8D6E" w:rsidR="00D357BC" w:rsidRDefault="00D357BC" w:rsidP="00D357BC">
      <w:pPr>
        <w:pBdr>
          <w:top w:val="single" w:sz="4" w:space="1" w:color="auto"/>
          <w:left w:val="single" w:sz="4" w:space="4" w:color="auto"/>
          <w:bottom w:val="single" w:sz="4" w:space="1" w:color="auto"/>
          <w:right w:val="single" w:sz="4" w:space="4" w:color="auto"/>
        </w:pBdr>
        <w:rPr>
          <w:rFonts w:ascii="Arial" w:hAnsi="Arial" w:cs="Arial"/>
        </w:rPr>
      </w:pPr>
      <w:r w:rsidRPr="00D357BC">
        <w:rPr>
          <w:rFonts w:ascii="Arial" w:hAnsi="Arial" w:cs="Arial"/>
        </w:rPr>
        <w:t>(iv) Low-pass whole-genome sequencing resolves copy number and tumour fraction but not sequence-level variation, so RB1 mutation and allelic status cannot be determined with the current assay. Deep whole-genome sequencing of banked AH would recover these in a single assay (Section 7).</w:t>
      </w:r>
    </w:p>
    <w:p w14:paraId="236C4ADB" w14:textId="06AED14B" w:rsidR="00A51B94" w:rsidRDefault="00A51B94">
      <w:pPr>
        <w:pBdr>
          <w:top w:val="single" w:sz="4" w:space="1" w:color="auto"/>
          <w:left w:val="single" w:sz="4" w:space="4" w:color="auto"/>
          <w:bottom w:val="single" w:sz="4" w:space="1" w:color="auto"/>
          <w:right w:val="single" w:sz="4" w:space="4" w:color="auto"/>
        </w:pBdr>
        <w:rPr>
          <w:rFonts w:ascii="Arial" w:hAnsi="Arial" w:cs="Arial"/>
        </w:rPr>
      </w:pPr>
    </w:p>
    <w:p w14:paraId="0C806623" w14:textId="77777777" w:rsidR="00A51B94" w:rsidRDefault="00A51B94">
      <w:pPr>
        <w:pBdr>
          <w:top w:val="single" w:sz="4" w:space="1" w:color="auto"/>
          <w:left w:val="single" w:sz="4" w:space="4" w:color="auto"/>
          <w:bottom w:val="single" w:sz="4" w:space="1" w:color="auto"/>
          <w:right w:val="single" w:sz="4" w:space="4" w:color="auto"/>
        </w:pBdr>
        <w:rPr>
          <w:rFonts w:ascii="Arial" w:hAnsi="Arial" w:cs="Arial"/>
        </w:rPr>
      </w:pPr>
    </w:p>
    <w:p w14:paraId="34DB177F" w14:textId="77777777" w:rsidR="00A51B94" w:rsidRDefault="004D59CA">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b/>
        </w:rPr>
        <w:t>d. Impact on patients and the public, timescale, and barriers</w:t>
      </w:r>
    </w:p>
    <w:p w14:paraId="16058458" w14:textId="2AB56D48" w:rsidR="00A51B94" w:rsidRPr="00457115" w:rsidRDefault="004D59CA">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The Aim 3 findings have the potential to change how retinoblastoma risk is assessed at diagnosis. Because tumour biopsy is contraindicated in RB, the aqueous </w:t>
      </w:r>
      <w:proofErr w:type="spellStart"/>
      <w:r>
        <w:rPr>
          <w:rFonts w:ascii="Arial" w:hAnsi="Arial" w:cs="Arial"/>
        </w:rPr>
        <w:t>humor</w:t>
      </w:r>
      <w:proofErr w:type="spellEnd"/>
      <w:r>
        <w:rPr>
          <w:rFonts w:ascii="Arial" w:hAnsi="Arial" w:cs="Arial"/>
        </w:rPr>
        <w:t xml:space="preserve"> liquid biopsy provides the first practical route to molecular risk stratification at the time of diagnosis, before any treatment is given. Eyes carrying both adverse features (high tumour fraction plus chromosome 16q loss/1q gain) failed globe-preserving therapy in 77% of cases versus 13% with neither feature </w:t>
      </w:r>
      <w:r w:rsidR="008A0ACE">
        <w:rPr>
          <w:rFonts w:ascii="Arial" w:hAnsi="Arial" w:cs="Arial"/>
        </w:rPr>
        <w:t>-</w:t>
      </w:r>
      <w:r>
        <w:rPr>
          <w:rFonts w:ascii="Arial" w:hAnsi="Arial" w:cs="Arial"/>
        </w:rPr>
        <w:t xml:space="preserve"> information that could, in time, support personalised, real-time treatment decisions: escalating or altering therapy for eyes at high risk of salvage failure while sparing low-risk eyes unnecessary treatment intensity. The assay is already implemented in a clinical laboratory setting at our centre, so the translational path is short. </w:t>
      </w:r>
      <w:r w:rsidR="00457115" w:rsidRPr="00457115">
        <w:rPr>
          <w:rFonts w:ascii="Arial" w:hAnsi="Arial" w:cs="Arial"/>
          <w:color w:val="000000"/>
        </w:rPr>
        <w:t>The principal barriers to patient benefit are (</w:t>
      </w:r>
      <w:proofErr w:type="spellStart"/>
      <w:r w:rsidR="00457115" w:rsidRPr="00457115">
        <w:rPr>
          <w:rFonts w:ascii="Arial" w:hAnsi="Arial" w:cs="Arial"/>
          <w:color w:val="000000"/>
        </w:rPr>
        <w:t>i</w:t>
      </w:r>
      <w:proofErr w:type="spellEnd"/>
      <w:r w:rsidR="00457115" w:rsidRPr="00457115">
        <w:rPr>
          <w:rFonts w:ascii="Arial" w:hAnsi="Arial" w:cs="Arial"/>
          <w:color w:val="000000"/>
        </w:rPr>
        <w:t>) external validation of the four-tier risk stratification in an independent, multicentre cohort, including lower-resource centres for which a low-pass approach is well suited, and (ii) prospective confirmation of the end-of-chemotherapy residual disease findings.</w:t>
      </w:r>
    </w:p>
    <w:p w14:paraId="6CB2F39D" w14:textId="77777777" w:rsidR="00A12699" w:rsidRPr="00457115" w:rsidRDefault="00A12699" w:rsidP="00A12699">
      <w:pPr>
        <w:rPr>
          <w:rFonts w:ascii="Arial" w:hAnsi="Arial" w:cs="Arial"/>
        </w:rPr>
      </w:pPr>
    </w:p>
    <w:p w14:paraId="2838D176" w14:textId="77777777" w:rsidR="00A12699" w:rsidRPr="00A12699" w:rsidRDefault="00676802" w:rsidP="00A12699">
      <w:pPr>
        <w:pStyle w:val="ListParagraph"/>
        <w:numPr>
          <w:ilvl w:val="0"/>
          <w:numId w:val="1"/>
        </w:numPr>
        <w:rPr>
          <w:rFonts w:ascii="Arial" w:hAnsi="Arial" w:cs="Arial"/>
          <w:b/>
        </w:rPr>
      </w:pPr>
      <w:r>
        <w:rPr>
          <w:rFonts w:ascii="Arial" w:hAnsi="Arial" w:cs="Arial"/>
          <w:b/>
        </w:rPr>
        <w:t xml:space="preserve">Plain English summary (please refer to appendix 1). </w:t>
      </w:r>
    </w:p>
    <w:p w14:paraId="66816382" w14:textId="69649CCC" w:rsidR="00EF023A" w:rsidRPr="00457115" w:rsidRDefault="00A12699" w:rsidP="00457115">
      <w:pPr>
        <w:pStyle w:val="ListParagraph"/>
        <w:ind w:left="360"/>
        <w:rPr>
          <w:rFonts w:ascii="Arial" w:hAnsi="Arial" w:cs="Arial"/>
        </w:rPr>
      </w:pPr>
      <w:r>
        <w:rPr>
          <w:rFonts w:ascii="Arial" w:hAnsi="Arial" w:cs="Arial"/>
        </w:rPr>
        <w:t xml:space="preserve">Please provide a brief plain English summary of your final report above, including any findings or outcomes, and their potential impact on patients or the public. CHECT (and funding partners) will publish this summary in the public domain to demonstrate how we support research, therefore please do not include any confidential or commercially sensitive information. </w:t>
      </w:r>
    </w:p>
    <w:p w14:paraId="0CD36672" w14:textId="051213A6"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Retinoblastoma is the most common eye cancer in young children. Unlike most cancers, it is not safe to take a biopsy of the tumour, so doctors have never been able to study the tumour’s gene</w:t>
      </w:r>
      <w:r w:rsidR="001675B9">
        <w:rPr>
          <w:rFonts w:ascii="Arial" w:hAnsi="Arial" w:cs="Arial"/>
        </w:rPr>
        <w:t>tic alterations</w:t>
      </w:r>
      <w:r>
        <w:rPr>
          <w:rFonts w:ascii="Arial" w:hAnsi="Arial" w:cs="Arial"/>
        </w:rPr>
        <w:t xml:space="preserve"> at the time of diagnosis. Our team uses a “liquid biopsy” instead: a tiny sample of the clear fluid at the front of the eye (called aqueous </w:t>
      </w:r>
      <w:proofErr w:type="spellStart"/>
      <w:r>
        <w:rPr>
          <w:rFonts w:ascii="Arial" w:hAnsi="Arial" w:cs="Arial"/>
        </w:rPr>
        <w:t>humor</w:t>
      </w:r>
      <w:proofErr w:type="spellEnd"/>
      <w:r>
        <w:rPr>
          <w:rFonts w:ascii="Arial" w:hAnsi="Arial" w:cs="Arial"/>
        </w:rPr>
        <w:t>), taken safely during a routine examination, contains fragments of DNA shed by the tumour.</w:t>
      </w:r>
    </w:p>
    <w:p w14:paraId="250DCC54" w14:textId="77777777"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p>
    <w:p w14:paraId="1D646CBD" w14:textId="53F63F64"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In this project we asked whether this fluid, sampled at diagnosis, could tell us which children have high-risk disease</w:t>
      </w:r>
      <w:r w:rsidR="004808A4">
        <w:rPr>
          <w:rFonts w:ascii="Arial" w:hAnsi="Arial" w:cs="Arial"/>
        </w:rPr>
        <w:t>, that is</w:t>
      </w:r>
      <w:r>
        <w:rPr>
          <w:rFonts w:ascii="Arial" w:hAnsi="Arial" w:cs="Arial"/>
        </w:rPr>
        <w:t xml:space="preserve">, eyes that are likely to need removal (enucleation) even after eye-saving treatment. We studied diagnostic samples from 67 eyes. Two features stood out: the amount of tumour DNA in the fluid, and </w:t>
      </w:r>
      <w:proofErr w:type="gramStart"/>
      <w:r>
        <w:rPr>
          <w:rFonts w:ascii="Arial" w:hAnsi="Arial" w:cs="Arial"/>
        </w:rPr>
        <w:t>particular changes</w:t>
      </w:r>
      <w:proofErr w:type="gramEnd"/>
      <w:r>
        <w:rPr>
          <w:rFonts w:ascii="Arial" w:hAnsi="Arial" w:cs="Arial"/>
        </w:rPr>
        <w:t xml:space="preserve"> to the chromosomes (loss of part of chromosome 16 and gain of part of chromosome 1). Eyes with both features failed eye-saving therapy in nearly 8 out of 10 cases, while eyes with neither feature failed in only about 1 in 10. These features predicted outcome better than the clinical staging system doctors currently use.</w:t>
      </w:r>
    </w:p>
    <w:p w14:paraId="30AC474F" w14:textId="77777777"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p>
    <w:p w14:paraId="5C386176" w14:textId="175E2C95"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This means we can now potentially identify children at risk of having high-risk retinoblastoma at the time of diagnosis, paving the way for personalised, real-time treatment decisions. In future, children with low-risk features might be spared intensive treatment, while those at high risk could be offered stronger or alternative therapy earlier</w:t>
      </w:r>
      <w:r w:rsidR="001675B9">
        <w:rPr>
          <w:rFonts w:ascii="Arial" w:hAnsi="Arial" w:cs="Arial"/>
        </w:rPr>
        <w:t>,</w:t>
      </w:r>
      <w:r>
        <w:rPr>
          <w:rFonts w:ascii="Arial" w:hAnsi="Arial" w:cs="Arial"/>
        </w:rPr>
        <w:t xml:space="preserve"> potentially saving vision.</w:t>
      </w:r>
    </w:p>
    <w:p w14:paraId="79FFDBCF" w14:textId="77777777"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p>
    <w:p w14:paraId="67A07C46" w14:textId="7EBD450D" w:rsidR="00F07BB6" w:rsidRDefault="001555E4" w:rsidP="00A12699">
      <w:pPr>
        <w:pBdr>
          <w:top w:val="single" w:sz="4" w:space="1" w:color="auto"/>
          <w:left w:val="single" w:sz="4" w:space="4" w:color="auto"/>
          <w:bottom w:val="single" w:sz="4" w:space="1" w:color="auto"/>
          <w:right w:val="single" w:sz="4" w:space="4" w:color="auto"/>
        </w:pBdr>
        <w:rPr>
          <w:rFonts w:ascii="Arial" w:hAnsi="Arial" w:cs="Arial"/>
        </w:rPr>
      </w:pPr>
      <w:r w:rsidRPr="001555E4">
        <w:rPr>
          <w:rFonts w:ascii="Arial" w:hAnsi="Arial" w:cs="Arial"/>
        </w:rPr>
        <w:lastRenderedPageBreak/>
        <w:t>Before this can change everyday care, the findings need to be confirmed in a larger group of children, including those treated at other hospitals. We are publishing the work and building international collaborations so that this test can be used with confidence for every child diagnosed with retinoblastoma, wherever they are treated</w:t>
      </w:r>
      <w:r w:rsidR="00F07BB6">
        <w:rPr>
          <w:rFonts w:ascii="Arial" w:hAnsi="Arial" w:cs="Arial"/>
        </w:rPr>
        <w:t>.</w:t>
      </w:r>
    </w:p>
    <w:p w14:paraId="12CC6ED0" w14:textId="77777777" w:rsidR="00F07BB6" w:rsidRDefault="00F07BB6" w:rsidP="00A12699">
      <w:pPr>
        <w:pBdr>
          <w:top w:val="single" w:sz="4" w:space="1" w:color="auto"/>
          <w:left w:val="single" w:sz="4" w:space="4" w:color="auto"/>
          <w:bottom w:val="single" w:sz="4" w:space="1" w:color="auto"/>
          <w:right w:val="single" w:sz="4" w:space="4" w:color="auto"/>
        </w:pBdr>
        <w:rPr>
          <w:rFonts w:ascii="Arial" w:hAnsi="Arial" w:cs="Arial"/>
        </w:rPr>
      </w:pPr>
    </w:p>
    <w:p w14:paraId="47C3CBD2" w14:textId="77777777" w:rsidR="002A4692" w:rsidRDefault="002A4692" w:rsidP="00A12699">
      <w:pPr>
        <w:rPr>
          <w:rFonts w:ascii="Arial" w:hAnsi="Arial" w:cs="Arial"/>
        </w:rPr>
      </w:pPr>
    </w:p>
    <w:p w14:paraId="3D6F2236" w14:textId="77777777" w:rsidR="00A12699" w:rsidRPr="00A12699" w:rsidRDefault="00A12699" w:rsidP="00A12699">
      <w:pPr>
        <w:pStyle w:val="ListParagraph"/>
        <w:numPr>
          <w:ilvl w:val="0"/>
          <w:numId w:val="1"/>
        </w:numPr>
        <w:rPr>
          <w:rFonts w:ascii="Arial" w:hAnsi="Arial" w:cs="Arial"/>
          <w:b/>
        </w:rPr>
      </w:pPr>
      <w:r>
        <w:rPr>
          <w:rFonts w:ascii="Arial" w:hAnsi="Arial" w:cs="Arial"/>
          <w:b/>
        </w:rPr>
        <w:t>Publications</w:t>
      </w:r>
    </w:p>
    <w:p w14:paraId="6B80532C" w14:textId="77777777" w:rsidR="00A12699" w:rsidRDefault="00A12699" w:rsidP="00A12699">
      <w:pPr>
        <w:pStyle w:val="ListParagraph"/>
        <w:ind w:left="360"/>
        <w:rPr>
          <w:rFonts w:ascii="Arial" w:hAnsi="Arial" w:cs="Arial"/>
        </w:rPr>
      </w:pPr>
      <w:r>
        <w:rPr>
          <w:rFonts w:ascii="Arial" w:hAnsi="Arial" w:cs="Arial"/>
        </w:rPr>
        <w:t>Please list all published or accepted papers and abstracts from the work of this grant (journal style) (attach copies where available)</w:t>
      </w:r>
    </w:p>
    <w:p w14:paraId="3503ABDB" w14:textId="77777777" w:rsidR="00676802" w:rsidRDefault="00676802" w:rsidP="00A12699">
      <w:pPr>
        <w:pStyle w:val="ListParagraph"/>
        <w:ind w:left="360"/>
        <w:rPr>
          <w:rFonts w:ascii="Arial" w:hAnsi="Arial" w:cs="Arial"/>
        </w:rPr>
      </w:pPr>
    </w:p>
    <w:p w14:paraId="68E4C78C" w14:textId="77777777"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b/>
        </w:rPr>
        <w:t>Peer-reviewed papers</w:t>
      </w:r>
    </w:p>
    <w:p w14:paraId="2BC841A4" w14:textId="77777777"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1. Yellapantula V, Huang E, Reid M, Xu D, </w:t>
      </w:r>
      <w:proofErr w:type="spellStart"/>
      <w:r>
        <w:rPr>
          <w:rFonts w:ascii="Arial" w:hAnsi="Arial" w:cs="Arial"/>
        </w:rPr>
        <w:t>Estrine</w:t>
      </w:r>
      <w:proofErr w:type="spellEnd"/>
      <w:r>
        <w:rPr>
          <w:rFonts w:ascii="Arial" w:hAnsi="Arial" w:cs="Arial"/>
        </w:rPr>
        <w:t xml:space="preserve"> D, Biegel J, Xu L, Cobrinik D, Berry JL. Clinical implementation of an aqueous </w:t>
      </w:r>
      <w:proofErr w:type="spellStart"/>
      <w:r>
        <w:rPr>
          <w:rFonts w:ascii="Arial" w:hAnsi="Arial" w:cs="Arial"/>
        </w:rPr>
        <w:t>humor</w:t>
      </w:r>
      <w:proofErr w:type="spellEnd"/>
      <w:r>
        <w:rPr>
          <w:rFonts w:ascii="Arial" w:hAnsi="Arial" w:cs="Arial"/>
        </w:rPr>
        <w:t>-derived cfDNA assay identifies prognostic biomarkers for high-risk retinoblastoma at diagnosis. (Manuscript in preparation for submission to Clinical Cancer Research.)</w:t>
      </w:r>
    </w:p>
    <w:p w14:paraId="3C8B0D1D" w14:textId="77777777"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2. Huang E, </w:t>
      </w:r>
      <w:proofErr w:type="spellStart"/>
      <w:r>
        <w:rPr>
          <w:rFonts w:ascii="Arial" w:hAnsi="Arial" w:cs="Arial"/>
        </w:rPr>
        <w:t>Sirivolu</w:t>
      </w:r>
      <w:proofErr w:type="spellEnd"/>
      <w:r>
        <w:rPr>
          <w:rFonts w:ascii="Arial" w:hAnsi="Arial" w:cs="Arial"/>
        </w:rPr>
        <w:t xml:space="preserve"> S, Yellapantula V, Kale P, Kuhn P, Hicks J, Brown B, Paniagua H, Pandya D, Shah R, Berry JL, Xu L. Aqueous </w:t>
      </w:r>
      <w:proofErr w:type="spellStart"/>
      <w:r>
        <w:rPr>
          <w:rFonts w:ascii="Arial" w:hAnsi="Arial" w:cs="Arial"/>
        </w:rPr>
        <w:t>Humor</w:t>
      </w:r>
      <w:proofErr w:type="spellEnd"/>
      <w:r>
        <w:rPr>
          <w:rFonts w:ascii="Arial" w:hAnsi="Arial" w:cs="Arial"/>
        </w:rPr>
        <w:t xml:space="preserve"> Liquid Biopsy Identifies MDM4 Segmental Gain in Retinoblastoma: Implications for Chemotherapy Response and Precision Oncology. JCO Precision Oncology. 2025.</w:t>
      </w:r>
    </w:p>
    <w:p w14:paraId="3D82F7E3" w14:textId="77777777"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3. Markowitz AL, </w:t>
      </w:r>
      <w:proofErr w:type="spellStart"/>
      <w:r>
        <w:rPr>
          <w:rFonts w:ascii="Arial" w:hAnsi="Arial" w:cs="Arial"/>
        </w:rPr>
        <w:t>Munugula</w:t>
      </w:r>
      <w:proofErr w:type="spellEnd"/>
      <w:r>
        <w:rPr>
          <w:rFonts w:ascii="Arial" w:hAnsi="Arial" w:cs="Arial"/>
        </w:rPr>
        <w:t xml:space="preserve"> C, Christodoulou E, Ji J, Xu L, Cotter JA, Yellapantula V. Genome-wide cfDNA fragmentation patterns in cerebrospinal fluid reflect medulloblastoma groups. NPJ Precision Oncology. </w:t>
      </w:r>
      <w:proofErr w:type="gramStart"/>
      <w:r>
        <w:rPr>
          <w:rFonts w:ascii="Arial" w:hAnsi="Arial" w:cs="Arial"/>
        </w:rPr>
        <w:t>2025;9:280</w:t>
      </w:r>
      <w:proofErr w:type="gramEnd"/>
      <w:r>
        <w:rPr>
          <w:rFonts w:ascii="Arial" w:hAnsi="Arial" w:cs="Arial"/>
        </w:rPr>
        <w:t>.</w:t>
      </w:r>
    </w:p>
    <w:p w14:paraId="646C9DF3" w14:textId="77777777"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p>
    <w:p w14:paraId="35F44EFE" w14:textId="77777777"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b/>
        </w:rPr>
        <w:t>Conference abstracts</w:t>
      </w:r>
    </w:p>
    <w:p w14:paraId="78872656" w14:textId="55CD2BC8"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1. Yellapantula V, Huang E, Xu D, </w:t>
      </w:r>
      <w:proofErr w:type="spellStart"/>
      <w:r>
        <w:rPr>
          <w:rFonts w:ascii="Arial" w:hAnsi="Arial" w:cs="Arial"/>
        </w:rPr>
        <w:t>Estrine</w:t>
      </w:r>
      <w:proofErr w:type="spellEnd"/>
      <w:r>
        <w:rPr>
          <w:rFonts w:ascii="Arial" w:hAnsi="Arial" w:cs="Arial"/>
        </w:rPr>
        <w:t xml:space="preserve"> D, Biegel J, Cobrinik D, Xu L, Berry JL. Clinical implementation of an aqueous </w:t>
      </w:r>
      <w:proofErr w:type="spellStart"/>
      <w:r>
        <w:rPr>
          <w:rFonts w:ascii="Arial" w:hAnsi="Arial" w:cs="Arial"/>
        </w:rPr>
        <w:t>humor</w:t>
      </w:r>
      <w:proofErr w:type="spellEnd"/>
      <w:r>
        <w:rPr>
          <w:rFonts w:ascii="Arial" w:hAnsi="Arial" w:cs="Arial"/>
        </w:rPr>
        <w:t>–derived cfDNA assay (LBSeq4Kids) identifies candidate drivers and prognostic biomarkers of high-risk retinoblastoma at diagnosis. International Society of Ocular Oncology (ISOO) 2026 Annual Conference (oral presentation).</w:t>
      </w:r>
    </w:p>
    <w:p w14:paraId="73D696B1" w14:textId="5AEA3F49" w:rsidR="00676802" w:rsidRDefault="00676802" w:rsidP="00A12699">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2. Yellapantula V, Huang E, Xu D, </w:t>
      </w:r>
      <w:proofErr w:type="spellStart"/>
      <w:r>
        <w:rPr>
          <w:rFonts w:ascii="Arial" w:hAnsi="Arial" w:cs="Arial"/>
        </w:rPr>
        <w:t>Estrine</w:t>
      </w:r>
      <w:proofErr w:type="spellEnd"/>
      <w:r>
        <w:rPr>
          <w:rFonts w:ascii="Arial" w:hAnsi="Arial" w:cs="Arial"/>
        </w:rPr>
        <w:t xml:space="preserve"> D, Biegel J, Xu L, Berry JL. Clinical implementation of an aqueous </w:t>
      </w:r>
      <w:proofErr w:type="spellStart"/>
      <w:r>
        <w:rPr>
          <w:rFonts w:ascii="Arial" w:hAnsi="Arial" w:cs="Arial"/>
        </w:rPr>
        <w:t>humor</w:t>
      </w:r>
      <w:proofErr w:type="spellEnd"/>
      <w:r>
        <w:rPr>
          <w:rFonts w:ascii="Arial" w:hAnsi="Arial" w:cs="Arial"/>
        </w:rPr>
        <w:t>–derived cfDNA assay (LBSeq4Kids) identifies prognostic biomarkers for high-risk retinoblastoma at diagnosis. Circulating Nucleic Acids in Plasma and Serum (CNAPS) 2025 Annual Conference (oral presentation).</w:t>
      </w:r>
    </w:p>
    <w:p w14:paraId="0A600242" w14:textId="6B3D0789" w:rsidR="00F07BB6" w:rsidRPr="00A12699" w:rsidRDefault="00F07BB6" w:rsidP="00A12699">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3. Yellapantula V, Christodoulou E, Xu D, </w:t>
      </w:r>
      <w:proofErr w:type="spellStart"/>
      <w:r>
        <w:rPr>
          <w:rFonts w:ascii="Arial" w:hAnsi="Arial" w:cs="Arial"/>
        </w:rPr>
        <w:t>Estrine</w:t>
      </w:r>
      <w:proofErr w:type="spellEnd"/>
      <w:r>
        <w:rPr>
          <w:rFonts w:ascii="Arial" w:hAnsi="Arial" w:cs="Arial"/>
        </w:rPr>
        <w:t xml:space="preserve"> D, Berry JL, Biegel J. Clinical Implementation of Low Pass Whole Genome Sequencing Using Aqueous </w:t>
      </w:r>
      <w:proofErr w:type="spellStart"/>
      <w:r>
        <w:rPr>
          <w:rFonts w:ascii="Arial" w:hAnsi="Arial" w:cs="Arial"/>
        </w:rPr>
        <w:t>Humor</w:t>
      </w:r>
      <w:proofErr w:type="spellEnd"/>
      <w:r>
        <w:rPr>
          <w:rFonts w:ascii="Arial" w:hAnsi="Arial" w:cs="Arial"/>
        </w:rPr>
        <w:t>-Derived cfDNA (LBSeq4Kids) for Retinoblastoma Diagnosis and Monitoring. International Society of Ocular Oncology (ISOO) 2024 Annual Conference (oral presentation).</w:t>
      </w:r>
    </w:p>
    <w:p w14:paraId="20435E7E" w14:textId="77777777" w:rsidR="00A51B94" w:rsidRDefault="00A51B94">
      <w:pPr>
        <w:pBdr>
          <w:top w:val="single" w:sz="4" w:space="1" w:color="auto"/>
          <w:left w:val="single" w:sz="4" w:space="4" w:color="auto"/>
          <w:bottom w:val="single" w:sz="4" w:space="1" w:color="auto"/>
          <w:right w:val="single" w:sz="4" w:space="4" w:color="auto"/>
        </w:pBdr>
        <w:rPr>
          <w:rFonts w:ascii="Arial" w:hAnsi="Arial" w:cs="Arial"/>
        </w:rPr>
      </w:pPr>
    </w:p>
    <w:p w14:paraId="538CCA4F" w14:textId="2DEB2583" w:rsidR="00A51B94" w:rsidRDefault="004D59CA">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i/>
        </w:rPr>
        <w:t xml:space="preserve">All manuscripts acknowledge </w:t>
      </w:r>
      <w:r w:rsidR="005D0B48">
        <w:rPr>
          <w:rFonts w:ascii="Arial" w:hAnsi="Arial" w:cs="Arial"/>
          <w:i/>
        </w:rPr>
        <w:t xml:space="preserve">funding support </w:t>
      </w:r>
      <w:r>
        <w:rPr>
          <w:rFonts w:ascii="Arial" w:hAnsi="Arial" w:cs="Arial"/>
          <w:i/>
        </w:rPr>
        <w:t>by The Childhood Eye Cancer Trust.</w:t>
      </w:r>
    </w:p>
    <w:p w14:paraId="5B3A1DED" w14:textId="77777777" w:rsidR="00A51B94" w:rsidRDefault="00A51B94">
      <w:pPr>
        <w:pBdr>
          <w:top w:val="single" w:sz="4" w:space="1" w:color="auto"/>
          <w:left w:val="single" w:sz="4" w:space="4" w:color="auto"/>
          <w:bottom w:val="single" w:sz="4" w:space="1" w:color="auto"/>
          <w:right w:val="single" w:sz="4" w:space="4" w:color="auto"/>
        </w:pBdr>
        <w:rPr>
          <w:rFonts w:ascii="Arial" w:hAnsi="Arial" w:cs="Arial"/>
        </w:rPr>
      </w:pPr>
    </w:p>
    <w:p w14:paraId="5F9AF625" w14:textId="77777777" w:rsidR="00A12699" w:rsidRDefault="00A12699" w:rsidP="00A12699">
      <w:pPr>
        <w:pStyle w:val="ListParagraph"/>
        <w:ind w:left="360"/>
        <w:rPr>
          <w:rFonts w:ascii="Arial" w:hAnsi="Arial" w:cs="Arial"/>
        </w:rPr>
      </w:pPr>
    </w:p>
    <w:p w14:paraId="56E1DC9B" w14:textId="77777777" w:rsidR="00A12699" w:rsidRPr="00A12699" w:rsidRDefault="00A12699" w:rsidP="00A12699">
      <w:pPr>
        <w:pStyle w:val="ListParagraph"/>
        <w:numPr>
          <w:ilvl w:val="0"/>
          <w:numId w:val="1"/>
        </w:numPr>
        <w:rPr>
          <w:rFonts w:ascii="Arial" w:hAnsi="Arial" w:cs="Arial"/>
          <w:b/>
        </w:rPr>
      </w:pPr>
      <w:r>
        <w:rPr>
          <w:rFonts w:ascii="Arial" w:hAnsi="Arial" w:cs="Arial"/>
          <w:b/>
        </w:rPr>
        <w:t>Dissemination of results</w:t>
      </w:r>
    </w:p>
    <w:p w14:paraId="31D9071E" w14:textId="77777777" w:rsidR="00A12699" w:rsidRDefault="00A12699" w:rsidP="00A12699">
      <w:pPr>
        <w:pStyle w:val="ListParagraph"/>
        <w:ind w:left="360"/>
        <w:rPr>
          <w:rFonts w:ascii="Arial" w:hAnsi="Arial" w:cs="Arial"/>
        </w:rPr>
      </w:pPr>
      <w:r>
        <w:rPr>
          <w:rFonts w:ascii="Arial" w:hAnsi="Arial" w:cs="Arial"/>
        </w:rPr>
        <w:t>Please list where and by whom any results/findings have been disseminated (e.g. conferences, workshops, public engagement events)</w:t>
      </w:r>
    </w:p>
    <w:p w14:paraId="6DF2D772" w14:textId="77777777" w:rsidR="00676802" w:rsidRDefault="00676802" w:rsidP="00A12699">
      <w:pPr>
        <w:pStyle w:val="ListParagraph"/>
        <w:ind w:left="360"/>
        <w:rPr>
          <w:rFonts w:ascii="Arial" w:hAnsi="Arial" w:cs="Arial"/>
        </w:rPr>
      </w:pPr>
    </w:p>
    <w:p w14:paraId="1840308B" w14:textId="77777777"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Results from this project have been disseminated by the lead investigator (V. Yellapantula) and collaborators through oral presentations at three international scientific meetings:</w:t>
      </w:r>
    </w:p>
    <w:p w14:paraId="71930F32" w14:textId="77777777"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International Society of Ocular Oncology (ISOO) 2024 Annual Conference — oral presentation on the clinical implementation of the LBSeq4Kids low-pass whole-genome sequencing assay for retinoblastoma diagnosis and monitoring.</w:t>
      </w:r>
    </w:p>
    <w:p w14:paraId="31BAF50A" w14:textId="77777777"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Circulating Nucleic Acids in Plasma and Serum (CNAPS) 2025 Annual Conference — oral presentation of the diagnostic prognostic biomarker findings (Aim 3).</w:t>
      </w:r>
    </w:p>
    <w:p w14:paraId="6C574E7B" w14:textId="77777777"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International Society of Ocular Oncology (ISOO) 2026 Annual Conference — oral presentation of the completed diagnostic risk-stratification analysis.</w:t>
      </w:r>
    </w:p>
    <w:p w14:paraId="5F4A8189" w14:textId="77777777" w:rsidR="001555E4" w:rsidRDefault="001555E4" w:rsidP="00A12699">
      <w:pPr>
        <w:pBdr>
          <w:top w:val="single" w:sz="4" w:space="1" w:color="auto"/>
          <w:left w:val="single" w:sz="4" w:space="4" w:color="auto"/>
          <w:bottom w:val="single" w:sz="4" w:space="1" w:color="auto"/>
          <w:right w:val="single" w:sz="4" w:space="4" w:color="auto"/>
        </w:pBdr>
        <w:rPr>
          <w:rFonts w:ascii="Arial" w:hAnsi="Arial" w:cs="Arial"/>
        </w:rPr>
      </w:pPr>
    </w:p>
    <w:p w14:paraId="6C6ABA52" w14:textId="77777777"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Findings have additionally been shared with the wider retinoblastoma clinical and research community through the peer-reviewed publications listed in Section </w:t>
      </w:r>
      <w:proofErr w:type="gramStart"/>
      <w:r>
        <w:rPr>
          <w:rFonts w:ascii="Arial" w:hAnsi="Arial" w:cs="Arial"/>
        </w:rPr>
        <w:t>3, and</w:t>
      </w:r>
      <w:proofErr w:type="gramEnd"/>
      <w:r>
        <w:rPr>
          <w:rFonts w:ascii="Arial" w:hAnsi="Arial" w:cs="Arial"/>
        </w:rPr>
        <w:t xml:space="preserve"> will reach the public domain through the forthcoming primary manuscript and the plain English summary above.</w:t>
      </w:r>
    </w:p>
    <w:p w14:paraId="557ABC5F" w14:textId="77777777"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p>
    <w:p w14:paraId="60996798" w14:textId="77777777" w:rsidR="00A12699" w:rsidRDefault="00A12699" w:rsidP="00A12699">
      <w:pPr>
        <w:rPr>
          <w:rFonts w:ascii="Arial" w:hAnsi="Arial" w:cs="Arial"/>
        </w:rPr>
      </w:pPr>
    </w:p>
    <w:p w14:paraId="78281F50" w14:textId="77777777" w:rsidR="006911C7" w:rsidRPr="00EF023A" w:rsidRDefault="006911C7" w:rsidP="00A12699">
      <w:pPr>
        <w:pStyle w:val="ListParagraph"/>
        <w:numPr>
          <w:ilvl w:val="0"/>
          <w:numId w:val="1"/>
        </w:numPr>
        <w:rPr>
          <w:rFonts w:ascii="Arial" w:hAnsi="Arial" w:cs="Arial"/>
          <w:b/>
        </w:rPr>
      </w:pPr>
      <w:r>
        <w:rPr>
          <w:rFonts w:ascii="Arial" w:hAnsi="Arial" w:cs="Arial"/>
          <w:b/>
        </w:rPr>
        <w:t>Intellectual property (IP)</w:t>
      </w:r>
    </w:p>
    <w:p w14:paraId="36462BE3" w14:textId="77777777" w:rsidR="006911C7" w:rsidRDefault="006911C7" w:rsidP="006911C7">
      <w:pPr>
        <w:pStyle w:val="ListParagraph"/>
        <w:ind w:left="360"/>
        <w:rPr>
          <w:rFonts w:ascii="Arial" w:hAnsi="Arial" w:cs="Arial"/>
        </w:rPr>
      </w:pPr>
      <w:r>
        <w:rPr>
          <w:rFonts w:ascii="Arial" w:hAnsi="Arial" w:cs="Arial"/>
        </w:rPr>
        <w:t>Please list any IP arising from the research, and whether it is wholly owned by the researcher.</w:t>
      </w:r>
    </w:p>
    <w:p w14:paraId="3D0E65A1" w14:textId="77777777" w:rsidR="006911C7" w:rsidRDefault="006911C7" w:rsidP="006911C7">
      <w:pPr>
        <w:pStyle w:val="ListParagraph"/>
        <w:ind w:left="360"/>
        <w:rPr>
          <w:rFonts w:ascii="Arial" w:hAnsi="Arial" w:cs="Arial"/>
        </w:rPr>
      </w:pPr>
    </w:p>
    <w:p w14:paraId="6C5D93DF" w14:textId="77777777" w:rsidR="006911C7" w:rsidRDefault="006911C7" w:rsidP="006911C7">
      <w:pPr>
        <w:pStyle w:val="ListParagraph"/>
        <w:ind w:left="360"/>
        <w:rPr>
          <w:rFonts w:ascii="Arial" w:hAnsi="Arial" w:cs="Arial"/>
        </w:rPr>
      </w:pPr>
    </w:p>
    <w:p w14:paraId="3FCC04A5" w14:textId="77777777" w:rsidR="006911C7" w:rsidRDefault="0041182A" w:rsidP="006911C7">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N/A</w:t>
      </w:r>
    </w:p>
    <w:p w14:paraId="0B362DB1" w14:textId="77777777" w:rsidR="006911C7" w:rsidRDefault="006911C7" w:rsidP="006911C7">
      <w:pPr>
        <w:pBdr>
          <w:top w:val="single" w:sz="4" w:space="1" w:color="auto"/>
          <w:left w:val="single" w:sz="4" w:space="4" w:color="auto"/>
          <w:bottom w:val="single" w:sz="4" w:space="1" w:color="auto"/>
          <w:right w:val="single" w:sz="4" w:space="4" w:color="auto"/>
        </w:pBdr>
        <w:rPr>
          <w:rFonts w:ascii="Arial" w:hAnsi="Arial" w:cs="Arial"/>
        </w:rPr>
      </w:pPr>
    </w:p>
    <w:p w14:paraId="388388D0" w14:textId="77777777" w:rsidR="00F07BB6" w:rsidRPr="00A12699" w:rsidRDefault="00F07BB6" w:rsidP="006911C7">
      <w:pPr>
        <w:pBdr>
          <w:top w:val="single" w:sz="4" w:space="1" w:color="auto"/>
          <w:left w:val="single" w:sz="4" w:space="4" w:color="auto"/>
          <w:bottom w:val="single" w:sz="4" w:space="1" w:color="auto"/>
          <w:right w:val="single" w:sz="4" w:space="4" w:color="auto"/>
        </w:pBdr>
        <w:rPr>
          <w:rFonts w:ascii="Arial" w:hAnsi="Arial" w:cs="Arial"/>
        </w:rPr>
      </w:pPr>
    </w:p>
    <w:p w14:paraId="29245F2B" w14:textId="77777777" w:rsidR="006911C7" w:rsidRDefault="006911C7" w:rsidP="006911C7">
      <w:pPr>
        <w:rPr>
          <w:rFonts w:ascii="Arial" w:hAnsi="Arial" w:cs="Arial"/>
        </w:rPr>
      </w:pPr>
    </w:p>
    <w:p w14:paraId="7363B2A9" w14:textId="77777777" w:rsidR="006911C7" w:rsidRPr="00EF023A" w:rsidRDefault="006911C7" w:rsidP="00A12699">
      <w:pPr>
        <w:pStyle w:val="ListParagraph"/>
        <w:numPr>
          <w:ilvl w:val="0"/>
          <w:numId w:val="1"/>
        </w:numPr>
        <w:rPr>
          <w:rFonts w:ascii="Arial" w:hAnsi="Arial" w:cs="Arial"/>
          <w:b/>
        </w:rPr>
      </w:pPr>
      <w:r>
        <w:rPr>
          <w:rFonts w:ascii="Arial" w:hAnsi="Arial" w:cs="Arial"/>
          <w:b/>
        </w:rPr>
        <w:t>Collaborations</w:t>
      </w:r>
    </w:p>
    <w:p w14:paraId="52C9E685" w14:textId="77777777" w:rsidR="006911C7" w:rsidRDefault="006911C7" w:rsidP="006911C7">
      <w:pPr>
        <w:pStyle w:val="ListParagraph"/>
        <w:ind w:left="360"/>
        <w:rPr>
          <w:rFonts w:ascii="Arial" w:hAnsi="Arial" w:cs="Arial"/>
        </w:rPr>
      </w:pPr>
      <w:r>
        <w:rPr>
          <w:rFonts w:ascii="Arial" w:hAnsi="Arial" w:cs="Arial"/>
        </w:rPr>
        <w:t xml:space="preserve">Please list any collaborations which have arisen during or </w:t>
      </w:r>
      <w:proofErr w:type="gramStart"/>
      <w:r>
        <w:rPr>
          <w:rFonts w:ascii="Arial" w:hAnsi="Arial" w:cs="Arial"/>
        </w:rPr>
        <w:t>as a result of</w:t>
      </w:r>
      <w:proofErr w:type="gramEnd"/>
      <w:r>
        <w:rPr>
          <w:rFonts w:ascii="Arial" w:hAnsi="Arial" w:cs="Arial"/>
        </w:rPr>
        <w:t xml:space="preserve"> this research.</w:t>
      </w:r>
    </w:p>
    <w:p w14:paraId="269D502A" w14:textId="77777777" w:rsidR="006911C7" w:rsidRDefault="006911C7" w:rsidP="006911C7">
      <w:pPr>
        <w:pStyle w:val="ListParagraph"/>
        <w:ind w:left="360"/>
        <w:rPr>
          <w:rFonts w:ascii="Arial" w:hAnsi="Arial" w:cs="Arial"/>
        </w:rPr>
      </w:pPr>
    </w:p>
    <w:p w14:paraId="7C19188C" w14:textId="45C1CEF5" w:rsidR="006911C7" w:rsidRDefault="0041182A" w:rsidP="006911C7">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The presentation of this work at international meetings has contributed to significant growth in clinical testing of retinoblastoma aqueous </w:t>
      </w:r>
      <w:proofErr w:type="spellStart"/>
      <w:r>
        <w:rPr>
          <w:rFonts w:ascii="Arial" w:hAnsi="Arial" w:cs="Arial"/>
        </w:rPr>
        <w:t>humor</w:t>
      </w:r>
      <w:proofErr w:type="spellEnd"/>
      <w:r>
        <w:rPr>
          <w:rFonts w:ascii="Arial" w:hAnsi="Arial" w:cs="Arial"/>
        </w:rPr>
        <w:t xml:space="preserve"> samples at diagnosis internationally, reflected in the marked increase in clinical testing volumes at our centre from referring institutions. These relationships form the basis of the multicentre validation </w:t>
      </w:r>
      <w:r w:rsidR="001675B9">
        <w:rPr>
          <w:rFonts w:ascii="Arial" w:hAnsi="Arial" w:cs="Arial"/>
        </w:rPr>
        <w:t xml:space="preserve">of the prognostic utility of cfDNA for risk stratification of RB. </w:t>
      </w:r>
    </w:p>
    <w:p w14:paraId="69CFA306" w14:textId="77777777" w:rsidR="006911C7" w:rsidRDefault="006911C7" w:rsidP="006911C7">
      <w:pPr>
        <w:pBdr>
          <w:top w:val="single" w:sz="4" w:space="1" w:color="auto"/>
          <w:left w:val="single" w:sz="4" w:space="4" w:color="auto"/>
          <w:bottom w:val="single" w:sz="4" w:space="1" w:color="auto"/>
          <w:right w:val="single" w:sz="4" w:space="4" w:color="auto"/>
        </w:pBdr>
        <w:rPr>
          <w:rFonts w:ascii="Arial" w:hAnsi="Arial" w:cs="Arial"/>
        </w:rPr>
      </w:pPr>
    </w:p>
    <w:p w14:paraId="5DAE1A3C" w14:textId="77777777" w:rsidR="006911C7" w:rsidRDefault="006911C7" w:rsidP="006911C7">
      <w:pPr>
        <w:pBdr>
          <w:top w:val="single" w:sz="4" w:space="1" w:color="auto"/>
          <w:left w:val="single" w:sz="4" w:space="4" w:color="auto"/>
          <w:bottom w:val="single" w:sz="4" w:space="1" w:color="auto"/>
          <w:right w:val="single" w:sz="4" w:space="4" w:color="auto"/>
        </w:pBdr>
        <w:rPr>
          <w:rFonts w:ascii="Arial" w:hAnsi="Arial" w:cs="Arial"/>
        </w:rPr>
      </w:pPr>
    </w:p>
    <w:p w14:paraId="7B314FB4" w14:textId="77777777" w:rsidR="006911C7" w:rsidRPr="006911C7" w:rsidRDefault="006911C7" w:rsidP="006911C7">
      <w:pPr>
        <w:pStyle w:val="ListParagraph"/>
        <w:ind w:left="360"/>
        <w:rPr>
          <w:rFonts w:ascii="Arial" w:hAnsi="Arial" w:cs="Arial"/>
        </w:rPr>
      </w:pPr>
      <w:r>
        <w:rPr>
          <w:rFonts w:ascii="Arial" w:hAnsi="Arial" w:cs="Arial"/>
        </w:rPr>
        <w:t xml:space="preserve"> </w:t>
      </w:r>
    </w:p>
    <w:p w14:paraId="2DCB996A" w14:textId="77777777" w:rsidR="00A12699" w:rsidRDefault="002A4692" w:rsidP="00A12699">
      <w:pPr>
        <w:pStyle w:val="ListParagraph"/>
        <w:numPr>
          <w:ilvl w:val="0"/>
          <w:numId w:val="1"/>
        </w:numPr>
        <w:rPr>
          <w:rFonts w:ascii="Arial" w:hAnsi="Arial" w:cs="Arial"/>
          <w:b/>
        </w:rPr>
      </w:pPr>
      <w:r>
        <w:rPr>
          <w:rFonts w:ascii="Arial" w:hAnsi="Arial" w:cs="Arial"/>
          <w:b/>
        </w:rPr>
        <w:t>Future research and funding</w:t>
      </w:r>
    </w:p>
    <w:p w14:paraId="76C93612" w14:textId="77777777" w:rsidR="002A4692" w:rsidRDefault="002A4692" w:rsidP="002A4692">
      <w:pPr>
        <w:pStyle w:val="ListParagraph"/>
        <w:ind w:left="360"/>
        <w:rPr>
          <w:rFonts w:ascii="Arial" w:hAnsi="Arial" w:cs="Arial"/>
        </w:rPr>
      </w:pPr>
      <w:r>
        <w:rPr>
          <w:rFonts w:ascii="Arial" w:hAnsi="Arial" w:cs="Arial"/>
        </w:rPr>
        <w:t xml:space="preserve">Please provide details of any further research/ideas planned and where potential funding will be sourced from </w:t>
      </w:r>
      <w:proofErr w:type="gramStart"/>
      <w:r>
        <w:rPr>
          <w:rFonts w:ascii="Arial" w:hAnsi="Arial" w:cs="Arial"/>
        </w:rPr>
        <w:t>as a result of</w:t>
      </w:r>
      <w:proofErr w:type="gramEnd"/>
      <w:r>
        <w:rPr>
          <w:rFonts w:ascii="Arial" w:hAnsi="Arial" w:cs="Arial"/>
        </w:rPr>
        <w:t xml:space="preserve"> this project</w:t>
      </w:r>
    </w:p>
    <w:p w14:paraId="202C4415" w14:textId="77777777" w:rsidR="00676802" w:rsidRPr="002A4692" w:rsidRDefault="00676802" w:rsidP="002A4692">
      <w:pPr>
        <w:pStyle w:val="ListParagraph"/>
        <w:ind w:left="360"/>
        <w:rPr>
          <w:rFonts w:ascii="Arial" w:hAnsi="Arial" w:cs="Arial"/>
        </w:rPr>
      </w:pPr>
    </w:p>
    <w:p w14:paraId="5D3C908D" w14:textId="77777777"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Based on our observations, we plan to pursue deep whole-genome sequencing (approximately 100x) of banked aqueous </w:t>
      </w:r>
      <w:proofErr w:type="spellStart"/>
      <w:r>
        <w:rPr>
          <w:rFonts w:ascii="Arial" w:hAnsi="Arial" w:cs="Arial"/>
        </w:rPr>
        <w:t>humor</w:t>
      </w:r>
      <w:proofErr w:type="spellEnd"/>
      <w:r>
        <w:rPr>
          <w:rFonts w:ascii="Arial" w:hAnsi="Arial" w:cs="Arial"/>
        </w:rPr>
        <w:t xml:space="preserve"> for comprehensive molecular profiling at diagnosis. This will address the shortcomings of the current low-pass whole-genome and deep targeted sequencing approaches by recovering point mutations, allelic status (including copy-neutral loss of heterozygosity at RB1) and structural events in a single assay. As a follow-up, we also plan to develop a monitoring strategy using plasma-derived cfDNA, tracking patient-specific somatic mutations identified in the diagnostic sample. The funding mechanism for this programme has not yet been fully charted; we anticipate approaching disease-focused charitable funders alongside federal funding mechanisms.</w:t>
      </w:r>
    </w:p>
    <w:p w14:paraId="77825087" w14:textId="77777777"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p>
    <w:p w14:paraId="5D584D0B" w14:textId="77777777" w:rsidR="00A12699" w:rsidRDefault="00A12699" w:rsidP="00A12699">
      <w:pPr>
        <w:pBdr>
          <w:top w:val="single" w:sz="4" w:space="1" w:color="auto"/>
          <w:left w:val="single" w:sz="4" w:space="4" w:color="auto"/>
          <w:bottom w:val="single" w:sz="4" w:space="1" w:color="auto"/>
          <w:right w:val="single" w:sz="4" w:space="4" w:color="auto"/>
        </w:pBdr>
        <w:rPr>
          <w:rFonts w:ascii="Arial" w:hAnsi="Arial" w:cs="Arial"/>
        </w:rPr>
      </w:pPr>
    </w:p>
    <w:p w14:paraId="1F907E88" w14:textId="77777777" w:rsidR="00A12699" w:rsidRDefault="00A12699" w:rsidP="00A12699">
      <w:pPr>
        <w:rPr>
          <w:rFonts w:ascii="Arial" w:hAnsi="Arial" w:cs="Arial"/>
        </w:rPr>
      </w:pPr>
    </w:p>
    <w:p w14:paraId="7E74C0AC" w14:textId="77777777" w:rsidR="001555E4" w:rsidRDefault="001555E4" w:rsidP="00A12699">
      <w:pPr>
        <w:rPr>
          <w:rFonts w:ascii="Arial" w:hAnsi="Arial" w:cs="Arial"/>
        </w:rPr>
      </w:pPr>
    </w:p>
    <w:p w14:paraId="0552F197" w14:textId="77777777" w:rsidR="00A12699" w:rsidRDefault="002A4692" w:rsidP="002A4692">
      <w:pPr>
        <w:pStyle w:val="ListParagraph"/>
        <w:numPr>
          <w:ilvl w:val="0"/>
          <w:numId w:val="1"/>
        </w:numPr>
        <w:rPr>
          <w:rFonts w:ascii="Arial" w:hAnsi="Arial" w:cs="Arial"/>
          <w:b/>
        </w:rPr>
      </w:pPr>
      <w:r>
        <w:rPr>
          <w:rFonts w:ascii="Arial" w:hAnsi="Arial" w:cs="Arial"/>
          <w:b/>
        </w:rPr>
        <w:t>Any further comments</w:t>
      </w:r>
    </w:p>
    <w:p w14:paraId="5A0ADA96" w14:textId="77777777" w:rsidR="00676802" w:rsidRPr="002A4692" w:rsidRDefault="00676802" w:rsidP="00676802">
      <w:pPr>
        <w:pStyle w:val="ListParagraph"/>
        <w:ind w:left="360"/>
        <w:rPr>
          <w:rFonts w:ascii="Arial" w:hAnsi="Arial" w:cs="Arial"/>
          <w:b/>
        </w:rPr>
      </w:pPr>
    </w:p>
    <w:p w14:paraId="6D709730" w14:textId="77777777" w:rsidR="002A4692" w:rsidRDefault="002A4692" w:rsidP="002A4692">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We are grateful to the Childhood Eye Cancer Trust for supporting this work. The award has enabled the principal analysis to be completed, presented at three international meetings, and prepared for publication, and has laid the groundwork for the multicentre validation phase of this research.</w:t>
      </w:r>
    </w:p>
    <w:p w14:paraId="24A8D817" w14:textId="77777777" w:rsidR="002A4692" w:rsidRDefault="002A4692" w:rsidP="002A4692">
      <w:pPr>
        <w:pBdr>
          <w:top w:val="single" w:sz="4" w:space="1" w:color="auto"/>
          <w:left w:val="single" w:sz="4" w:space="4" w:color="auto"/>
          <w:bottom w:val="single" w:sz="4" w:space="1" w:color="auto"/>
          <w:right w:val="single" w:sz="4" w:space="4" w:color="auto"/>
        </w:pBdr>
        <w:rPr>
          <w:rFonts w:ascii="Arial" w:hAnsi="Arial" w:cs="Arial"/>
        </w:rPr>
      </w:pPr>
    </w:p>
    <w:p w14:paraId="7C76A0C0" w14:textId="77777777" w:rsidR="002A4692" w:rsidRDefault="002A4692" w:rsidP="00A12699">
      <w:pPr>
        <w:rPr>
          <w:rFonts w:ascii="Arial" w:hAnsi="Arial" w:cs="Arial"/>
        </w:rPr>
      </w:pPr>
    </w:p>
    <w:tbl>
      <w:tblPr>
        <w:tblStyle w:val="TableGrid"/>
        <w:tblW w:w="0" w:type="auto"/>
        <w:tblLook w:val="04A0" w:firstRow="1" w:lastRow="0" w:firstColumn="1" w:lastColumn="0" w:noHBand="0" w:noVBand="1"/>
      </w:tblPr>
      <w:tblGrid>
        <w:gridCol w:w="2407"/>
        <w:gridCol w:w="3117"/>
        <w:gridCol w:w="1697"/>
        <w:gridCol w:w="2407"/>
      </w:tblGrid>
      <w:tr w:rsidR="00A12699" w14:paraId="396506A4" w14:textId="77777777" w:rsidTr="00A12699">
        <w:tc>
          <w:tcPr>
            <w:tcW w:w="2407" w:type="dxa"/>
            <w:shd w:val="clear" w:color="auto" w:fill="F2F2F2" w:themeFill="background1" w:themeFillShade="F2"/>
          </w:tcPr>
          <w:p w14:paraId="6E01E101" w14:textId="77777777" w:rsidR="00A12699" w:rsidRDefault="00A12699" w:rsidP="00A12699">
            <w:pPr>
              <w:rPr>
                <w:rFonts w:ascii="Arial" w:hAnsi="Arial" w:cs="Arial"/>
              </w:rPr>
            </w:pPr>
            <w:r>
              <w:rPr>
                <w:rFonts w:ascii="Arial" w:hAnsi="Arial" w:cs="Arial"/>
              </w:rPr>
              <w:t>Report completed by:</w:t>
            </w:r>
          </w:p>
          <w:p w14:paraId="5921DBEC" w14:textId="77777777" w:rsidR="00A12699" w:rsidRDefault="00A12699" w:rsidP="00A12699">
            <w:pPr>
              <w:rPr>
                <w:rFonts w:ascii="Arial" w:hAnsi="Arial" w:cs="Arial"/>
              </w:rPr>
            </w:pPr>
          </w:p>
        </w:tc>
        <w:tc>
          <w:tcPr>
            <w:tcW w:w="3117" w:type="dxa"/>
          </w:tcPr>
          <w:p w14:paraId="02FED09E" w14:textId="77777777" w:rsidR="00A12699" w:rsidRDefault="00A12699" w:rsidP="00A12699">
            <w:pPr>
              <w:rPr>
                <w:rFonts w:ascii="Arial" w:hAnsi="Arial" w:cs="Arial"/>
              </w:rPr>
            </w:pPr>
            <w:r>
              <w:rPr>
                <w:rFonts w:ascii="Arial" w:hAnsi="Arial" w:cs="Arial"/>
              </w:rPr>
              <w:t>Venkata Yellapantula, PhD</w:t>
            </w:r>
          </w:p>
        </w:tc>
        <w:tc>
          <w:tcPr>
            <w:tcW w:w="1697" w:type="dxa"/>
            <w:shd w:val="clear" w:color="auto" w:fill="F2F2F2" w:themeFill="background1" w:themeFillShade="F2"/>
          </w:tcPr>
          <w:p w14:paraId="0495F5C0" w14:textId="77777777" w:rsidR="00A12699" w:rsidRDefault="00A12699" w:rsidP="00A12699">
            <w:pPr>
              <w:rPr>
                <w:rFonts w:ascii="Arial" w:hAnsi="Arial" w:cs="Arial"/>
              </w:rPr>
            </w:pPr>
            <w:r>
              <w:rPr>
                <w:rFonts w:ascii="Arial" w:hAnsi="Arial" w:cs="Arial"/>
              </w:rPr>
              <w:t>Date of report:</w:t>
            </w:r>
          </w:p>
        </w:tc>
        <w:tc>
          <w:tcPr>
            <w:tcW w:w="2407" w:type="dxa"/>
          </w:tcPr>
          <w:p w14:paraId="08016AA6" w14:textId="6A474286" w:rsidR="00A12699" w:rsidRDefault="004808A4" w:rsidP="00A12699">
            <w:pPr>
              <w:rPr>
                <w:rFonts w:ascii="Arial" w:hAnsi="Arial" w:cs="Arial"/>
              </w:rPr>
            </w:pPr>
            <w:r>
              <w:rPr>
                <w:rFonts w:ascii="Arial" w:hAnsi="Arial" w:cs="Arial"/>
              </w:rPr>
              <w:t>22</w:t>
            </w:r>
            <w:r w:rsidR="00A12699">
              <w:rPr>
                <w:rFonts w:ascii="Arial" w:hAnsi="Arial" w:cs="Arial"/>
              </w:rPr>
              <w:t xml:space="preserve"> August 2026</w:t>
            </w:r>
          </w:p>
        </w:tc>
      </w:tr>
    </w:tbl>
    <w:p w14:paraId="73BC9776" w14:textId="77777777" w:rsidR="00A12699" w:rsidRDefault="00A12699" w:rsidP="00A12699">
      <w:pPr>
        <w:rPr>
          <w:rFonts w:ascii="Arial" w:hAnsi="Arial" w:cs="Arial"/>
        </w:rPr>
      </w:pPr>
    </w:p>
    <w:p w14:paraId="250B8859" w14:textId="77777777" w:rsidR="0059787F" w:rsidRDefault="0059787F" w:rsidP="00A12699">
      <w:pPr>
        <w:rPr>
          <w:rFonts w:ascii="Arial" w:hAnsi="Arial" w:cs="Arial"/>
        </w:rPr>
      </w:pPr>
    </w:p>
    <w:p w14:paraId="65EDBB85" w14:textId="77777777" w:rsidR="00274E5C" w:rsidRDefault="00274E5C" w:rsidP="0059787F">
      <w:pPr>
        <w:rPr>
          <w:rFonts w:ascii="Arial,Bold" w:eastAsia="Times New Roman" w:hAnsi="Arial,Bold" w:cs="Times New Roman"/>
          <w:b/>
          <w:sz w:val="28"/>
          <w:szCs w:val="28"/>
        </w:rPr>
      </w:pPr>
    </w:p>
    <w:p w14:paraId="2E9EE074" w14:textId="5A97B3B7" w:rsidR="0059787F" w:rsidRPr="004808A4" w:rsidRDefault="0059787F" w:rsidP="0059787F">
      <w:pPr>
        <w:rPr>
          <w:rFonts w:ascii="Arial,Bold" w:eastAsia="Times New Roman" w:hAnsi="Arial,Bold" w:cs="Times New Roman"/>
          <w:b/>
          <w:sz w:val="28"/>
          <w:szCs w:val="28"/>
        </w:rPr>
      </w:pPr>
      <w:r>
        <w:rPr>
          <w:rFonts w:ascii="Arial,Bold" w:eastAsia="Times New Roman" w:hAnsi="Arial,Bold" w:cs="Times New Roman"/>
          <w:b/>
          <w:sz w:val="28"/>
          <w:szCs w:val="28"/>
        </w:rPr>
        <w:t xml:space="preserve">Appendix 1: Writing a plain English summary in your Childhood Eye Cancer Trust (CHECT) final report </w:t>
      </w:r>
      <w:r>
        <w:rPr>
          <w:rStyle w:val="EndnoteReference"/>
          <w:rFonts w:ascii="Arial,Bold" w:eastAsia="Times New Roman" w:hAnsi="Arial,Bold" w:cs="Times New Roman"/>
          <w:b/>
          <w:sz w:val="28"/>
          <w:szCs w:val="28"/>
        </w:rPr>
        <w:endnoteReference w:id="1"/>
      </w:r>
    </w:p>
    <w:p w14:paraId="201585A7" w14:textId="77777777" w:rsidR="0059787F" w:rsidRDefault="0059787F" w:rsidP="0059787F">
      <w:pPr>
        <w:rPr>
          <w:rFonts w:ascii="Arial" w:eastAsia="Times New Roman" w:hAnsi="Arial" w:cs="Arial"/>
        </w:rPr>
      </w:pPr>
    </w:p>
    <w:p w14:paraId="74B52464" w14:textId="77777777" w:rsidR="0059787F" w:rsidRDefault="0059787F" w:rsidP="0059787F">
      <w:pPr>
        <w:rPr>
          <w:rFonts w:ascii="Arial" w:eastAsia="Times New Roman" w:hAnsi="Arial" w:cs="Arial"/>
        </w:rPr>
      </w:pPr>
      <w:r>
        <w:rPr>
          <w:rFonts w:ascii="Arial" w:eastAsia="Times New Roman" w:hAnsi="Arial" w:cs="Arial"/>
        </w:rPr>
        <w:t>A plain English summary is a clear explanation of your research that should be accessible by an interested audience.</w:t>
      </w:r>
    </w:p>
    <w:p w14:paraId="64421087" w14:textId="77777777" w:rsidR="00F07BB6" w:rsidRDefault="0059787F" w:rsidP="0059787F">
      <w:pPr>
        <w:rPr>
          <w:rFonts w:ascii="Arial" w:eastAsia="Times New Roman" w:hAnsi="Arial" w:cs="Arial"/>
        </w:rPr>
      </w:pPr>
      <w:r>
        <w:rPr>
          <w:rFonts w:ascii="Arial" w:eastAsia="Times New Roman" w:hAnsi="Arial" w:cs="Arial"/>
        </w:rPr>
        <w:br/>
      </w:r>
    </w:p>
    <w:p w14:paraId="55810327" w14:textId="77777777" w:rsidR="0059787F" w:rsidRDefault="0059787F" w:rsidP="0059787F">
      <w:pPr>
        <w:rPr>
          <w:rFonts w:ascii="Arial" w:eastAsia="Times New Roman" w:hAnsi="Arial" w:cs="Arial"/>
        </w:rPr>
      </w:pPr>
      <w:r>
        <w:rPr>
          <w:rFonts w:ascii="Arial" w:eastAsia="Times New Roman" w:hAnsi="Arial" w:cs="Arial"/>
        </w:rPr>
        <w:t>Your final report will be reviewed by experts on the CHECT Scientific Advisory Committee but also by lay members of the SAC and CHECT Board members who are not scientific experts. It will also be accessible through the CHECT website.</w:t>
      </w:r>
    </w:p>
    <w:p w14:paraId="5162CF86" w14:textId="77777777" w:rsidR="0059787F" w:rsidRPr="00274E5C" w:rsidRDefault="0059787F" w:rsidP="0059787F">
      <w:pPr>
        <w:spacing w:before="100" w:beforeAutospacing="1" w:after="100" w:afterAutospacing="1"/>
        <w:rPr>
          <w:rFonts w:ascii="Times New Roman" w:eastAsia="Times New Roman" w:hAnsi="Times New Roman" w:cs="Times New Roman"/>
        </w:rPr>
      </w:pPr>
      <w:r>
        <w:rPr>
          <w:rFonts w:ascii="Arial" w:eastAsia="Times New Roman" w:hAnsi="Arial" w:cs="Arial"/>
        </w:rPr>
        <w:t xml:space="preserve">A good quality plain English summary providing an </w:t>
      </w:r>
      <w:proofErr w:type="gramStart"/>
      <w:r>
        <w:rPr>
          <w:rFonts w:ascii="Arial" w:eastAsia="Times New Roman" w:hAnsi="Arial" w:cs="Arial"/>
        </w:rPr>
        <w:t>easy to read</w:t>
      </w:r>
      <w:proofErr w:type="gramEnd"/>
      <w:r>
        <w:rPr>
          <w:rFonts w:ascii="Arial" w:eastAsia="Times New Roman" w:hAnsi="Arial" w:cs="Arial"/>
        </w:rPr>
        <w:t xml:space="preserve"> overview of your whole study will help: </w:t>
      </w:r>
    </w:p>
    <w:p w14:paraId="56C03825" w14:textId="77777777" w:rsidR="0059787F" w:rsidRPr="00274E5C" w:rsidRDefault="0059787F" w:rsidP="0059787F">
      <w:pPr>
        <w:pStyle w:val="ListParagraph"/>
        <w:numPr>
          <w:ilvl w:val="0"/>
          <w:numId w:val="2"/>
        </w:numPr>
        <w:spacing w:before="100" w:beforeAutospacing="1" w:after="100" w:afterAutospacing="1"/>
        <w:contextualSpacing w:val="0"/>
      </w:pPr>
      <w:r>
        <w:rPr>
          <w:rFonts w:ascii="Arial" w:hAnsi="Arial" w:cs="Arial"/>
        </w:rPr>
        <w:t xml:space="preserve">those carrying out the review (reviewers and Board and panel members) to have a better understanding of your research </w:t>
      </w:r>
    </w:p>
    <w:p w14:paraId="2736D5EF" w14:textId="77777777" w:rsidR="0059787F" w:rsidRPr="00274E5C" w:rsidRDefault="0059787F" w:rsidP="0059787F">
      <w:pPr>
        <w:pStyle w:val="ListParagraph"/>
        <w:numPr>
          <w:ilvl w:val="0"/>
          <w:numId w:val="2"/>
        </w:numPr>
        <w:spacing w:before="100" w:beforeAutospacing="1" w:after="100" w:afterAutospacing="1"/>
        <w:contextualSpacing w:val="0"/>
      </w:pPr>
      <w:r>
        <w:rPr>
          <w:rFonts w:ascii="Arial" w:hAnsi="Arial" w:cs="Arial"/>
        </w:rPr>
        <w:t xml:space="preserve">inform others about your research such as those affected by retinoblastoma (Rb), members of the public, health professionals, policy makers and the media </w:t>
      </w:r>
    </w:p>
    <w:p w14:paraId="7DB9FA47" w14:textId="77777777" w:rsidR="0059787F" w:rsidRPr="00274E5C" w:rsidRDefault="0059787F" w:rsidP="0059787F">
      <w:pPr>
        <w:pStyle w:val="ListParagraph"/>
        <w:numPr>
          <w:ilvl w:val="0"/>
          <w:numId w:val="2"/>
        </w:numPr>
        <w:spacing w:before="100" w:beforeAutospacing="1" w:after="100" w:afterAutospacing="1"/>
        <w:contextualSpacing w:val="0"/>
      </w:pPr>
      <w:r>
        <w:rPr>
          <w:rFonts w:ascii="Arial" w:hAnsi="Arial" w:cs="Arial"/>
        </w:rPr>
        <w:t xml:space="preserve">research funders to publicise the research that they fund. </w:t>
      </w:r>
    </w:p>
    <w:p w14:paraId="62C3686E" w14:textId="77777777" w:rsidR="0059787F" w:rsidRPr="00274E5C" w:rsidRDefault="0059787F" w:rsidP="0059787F">
      <w:pPr>
        <w:rPr>
          <w:rFonts w:ascii="Times New Roman" w:eastAsia="Times New Roman" w:hAnsi="Times New Roman" w:cs="Times New Roman"/>
        </w:rPr>
      </w:pPr>
      <w:r>
        <w:rPr>
          <w:rFonts w:ascii="Arial,Bold" w:eastAsia="Times New Roman" w:hAnsi="Arial,Bold" w:cs="Times New Roman"/>
        </w:rPr>
        <w:t xml:space="preserve">The summary is important. If it is felt that your plain English summary is not clear and of a good </w:t>
      </w:r>
      <w:proofErr w:type="gramStart"/>
      <w:r>
        <w:rPr>
          <w:rFonts w:ascii="Arial,Bold" w:eastAsia="Times New Roman" w:hAnsi="Arial,Bold" w:cs="Times New Roman"/>
        </w:rPr>
        <w:t>quality</w:t>
      </w:r>
      <w:proofErr w:type="gramEnd"/>
      <w:r>
        <w:rPr>
          <w:rFonts w:ascii="Arial,Bold" w:eastAsia="Times New Roman" w:hAnsi="Arial,Bold" w:cs="Times New Roman"/>
        </w:rPr>
        <w:t xml:space="preserve"> then you may be required to amend your summary prior to the final closure of the project. </w:t>
      </w:r>
    </w:p>
    <w:p w14:paraId="7D8A40B7" w14:textId="77777777" w:rsidR="0059787F" w:rsidRDefault="0059787F" w:rsidP="0059787F">
      <w:pPr>
        <w:rPr>
          <w:rFonts w:ascii="Arial,Bold" w:eastAsia="Times New Roman" w:hAnsi="Arial,Bold" w:cs="Times New Roman"/>
          <w:b/>
          <w:sz w:val="28"/>
          <w:szCs w:val="28"/>
        </w:rPr>
      </w:pPr>
    </w:p>
    <w:p w14:paraId="3BE196E1" w14:textId="77777777" w:rsidR="0059787F" w:rsidRDefault="0059787F" w:rsidP="0059787F">
      <w:pPr>
        <w:rPr>
          <w:rFonts w:ascii="Arial,Bold" w:eastAsia="Times New Roman" w:hAnsi="Arial,Bold" w:cs="Times New Roman"/>
          <w:b/>
          <w:sz w:val="28"/>
          <w:szCs w:val="28"/>
        </w:rPr>
      </w:pPr>
    </w:p>
    <w:p w14:paraId="58660CE1" w14:textId="77777777" w:rsidR="0059787F" w:rsidRPr="00D54E13" w:rsidRDefault="0059787F" w:rsidP="0059787F">
      <w:pPr>
        <w:rPr>
          <w:rFonts w:ascii="Times New Roman" w:eastAsia="Times New Roman" w:hAnsi="Times New Roman" w:cs="Times New Roman"/>
          <w:b/>
          <w:sz w:val="28"/>
          <w:szCs w:val="28"/>
        </w:rPr>
      </w:pPr>
      <w:r>
        <w:rPr>
          <w:rFonts w:ascii="Arial,Bold" w:eastAsia="Times New Roman" w:hAnsi="Arial,Bold" w:cs="Times New Roman"/>
          <w:b/>
          <w:sz w:val="28"/>
          <w:szCs w:val="28"/>
        </w:rPr>
        <w:t xml:space="preserve">What to include in your plain English summary </w:t>
      </w:r>
    </w:p>
    <w:p w14:paraId="5E08F717" w14:textId="77777777" w:rsidR="0059787F" w:rsidRDefault="0059787F" w:rsidP="0059787F">
      <w:pPr>
        <w:spacing w:before="100" w:beforeAutospacing="1" w:after="100" w:afterAutospacing="1"/>
        <w:rPr>
          <w:rFonts w:ascii="Arial" w:eastAsia="Times New Roman" w:hAnsi="Arial" w:cs="Arial"/>
        </w:rPr>
      </w:pPr>
      <w:r>
        <w:rPr>
          <w:rFonts w:ascii="Arial,Bold" w:eastAsia="Times New Roman" w:hAnsi="Arial,Bold" w:cs="Times New Roman"/>
        </w:rPr>
        <w:t xml:space="preserve">Your plain English summary should be 300 words or less. </w:t>
      </w:r>
      <w:r>
        <w:rPr>
          <w:rFonts w:ascii="Arial" w:eastAsia="Times New Roman" w:hAnsi="Arial" w:cs="Arial"/>
        </w:rPr>
        <w:t xml:space="preserve">When writing the summary consider including the following information: </w:t>
      </w:r>
    </w:p>
    <w:p w14:paraId="18FC2804" w14:textId="77777777" w:rsidR="0059787F" w:rsidRPr="0059787F" w:rsidRDefault="0059787F" w:rsidP="0059787F">
      <w:pPr>
        <w:pStyle w:val="ListParagraph"/>
        <w:numPr>
          <w:ilvl w:val="0"/>
          <w:numId w:val="8"/>
        </w:numPr>
        <w:spacing w:before="100" w:beforeAutospacing="1" w:after="100" w:afterAutospacing="1"/>
        <w:rPr>
          <w:rFonts w:ascii="Times New Roman" w:eastAsia="Times New Roman" w:hAnsi="Times New Roman" w:cs="Times New Roman"/>
        </w:rPr>
      </w:pPr>
      <w:r>
        <w:rPr>
          <w:rFonts w:ascii="Arial,Bold" w:eastAsia="Times New Roman" w:hAnsi="Arial,Bold" w:cs="Times New Roman"/>
        </w:rPr>
        <w:t xml:space="preserve">Aim(s) of the research </w:t>
      </w:r>
    </w:p>
    <w:p w14:paraId="1C97E232" w14:textId="77777777" w:rsidR="0059787F" w:rsidRPr="0059787F" w:rsidRDefault="0059787F" w:rsidP="0059787F">
      <w:pPr>
        <w:pStyle w:val="ListParagraph"/>
        <w:numPr>
          <w:ilvl w:val="0"/>
          <w:numId w:val="8"/>
        </w:numPr>
        <w:spacing w:before="100" w:beforeAutospacing="1" w:after="100" w:afterAutospacing="1"/>
        <w:rPr>
          <w:rFonts w:ascii="Times New Roman" w:eastAsia="Times New Roman" w:hAnsi="Times New Roman" w:cs="Times New Roman"/>
        </w:rPr>
      </w:pPr>
      <w:r>
        <w:rPr>
          <w:rFonts w:ascii="Arial,Bold" w:eastAsia="Times New Roman" w:hAnsi="Arial,Bold" w:cs="Times New Roman"/>
        </w:rPr>
        <w:t xml:space="preserve">Findings or outcomes </w:t>
      </w:r>
    </w:p>
    <w:p w14:paraId="09CD493F" w14:textId="77777777" w:rsidR="0059787F" w:rsidRPr="0059787F" w:rsidRDefault="0059787F" w:rsidP="0059787F">
      <w:pPr>
        <w:pStyle w:val="ListParagraph"/>
        <w:numPr>
          <w:ilvl w:val="0"/>
          <w:numId w:val="8"/>
        </w:numPr>
        <w:spacing w:before="100" w:beforeAutospacing="1" w:after="100" w:afterAutospacing="1"/>
        <w:rPr>
          <w:rFonts w:ascii="Times New Roman" w:eastAsia="Times New Roman" w:hAnsi="Times New Roman" w:cs="Times New Roman"/>
        </w:rPr>
      </w:pPr>
      <w:r>
        <w:rPr>
          <w:rFonts w:ascii="Arial,Bold" w:eastAsia="Times New Roman" w:hAnsi="Arial,Bold" w:cs="Times New Roman"/>
        </w:rPr>
        <w:t>Potential impact on Rb individuals and families</w:t>
      </w:r>
    </w:p>
    <w:p w14:paraId="237FA864" w14:textId="77777777" w:rsidR="0059787F" w:rsidRPr="0059787F" w:rsidRDefault="0059787F" w:rsidP="0059787F">
      <w:pPr>
        <w:rPr>
          <w:rFonts w:ascii="Arial,Bold" w:eastAsia="Times New Roman" w:hAnsi="Arial,Bold" w:cs="Times New Roman"/>
          <w:sz w:val="28"/>
          <w:szCs w:val="28"/>
        </w:rPr>
      </w:pPr>
    </w:p>
    <w:p w14:paraId="736BC823" w14:textId="77777777" w:rsidR="0059787F" w:rsidRPr="00A44748" w:rsidRDefault="0059787F" w:rsidP="0059787F">
      <w:pPr>
        <w:rPr>
          <w:rFonts w:ascii="Times New Roman" w:eastAsia="Times New Roman" w:hAnsi="Times New Roman" w:cs="Times New Roman"/>
          <w:b/>
        </w:rPr>
      </w:pPr>
      <w:r>
        <w:rPr>
          <w:rFonts w:ascii="Arial,Bold" w:eastAsia="Times New Roman" w:hAnsi="Arial,Bold" w:cs="Times New Roman"/>
          <w:b/>
          <w:sz w:val="28"/>
          <w:szCs w:val="28"/>
        </w:rPr>
        <w:t xml:space="preserve">How to write a plain English summary </w:t>
      </w:r>
    </w:p>
    <w:p w14:paraId="08E9CF52" w14:textId="77777777" w:rsidR="0059787F" w:rsidRDefault="0059787F" w:rsidP="0059787F">
      <w:pPr>
        <w:rPr>
          <w:rFonts w:ascii="Arial" w:eastAsia="Times New Roman" w:hAnsi="Arial" w:cs="Arial"/>
        </w:rPr>
      </w:pPr>
    </w:p>
    <w:p w14:paraId="0CC31FC9" w14:textId="77777777" w:rsidR="0059787F" w:rsidRDefault="0059787F" w:rsidP="0059787F">
      <w:pPr>
        <w:rPr>
          <w:rFonts w:ascii="Arial" w:eastAsia="Times New Roman" w:hAnsi="Arial" w:cs="Arial"/>
        </w:rPr>
      </w:pPr>
      <w:r>
        <w:rPr>
          <w:rFonts w:ascii="Arial" w:eastAsia="Times New Roman" w:hAnsi="Arial" w:cs="Arial"/>
        </w:rPr>
        <w:t xml:space="preserve">The people who will read your summary will be an interested </w:t>
      </w:r>
      <w:proofErr w:type="gramStart"/>
      <w:r>
        <w:rPr>
          <w:rFonts w:ascii="Arial" w:eastAsia="Times New Roman" w:hAnsi="Arial" w:cs="Arial"/>
        </w:rPr>
        <w:t>audience, but</w:t>
      </w:r>
      <w:proofErr w:type="gramEnd"/>
      <w:r>
        <w:rPr>
          <w:rFonts w:ascii="Arial" w:eastAsia="Times New Roman" w:hAnsi="Arial" w:cs="Arial"/>
        </w:rPr>
        <w:t xml:space="preserve"> are not necessarily specialists. </w:t>
      </w:r>
      <w:proofErr w:type="gramStart"/>
      <w:r>
        <w:rPr>
          <w:rFonts w:ascii="Arial" w:eastAsia="Times New Roman" w:hAnsi="Arial" w:cs="Arial"/>
        </w:rPr>
        <w:t>Therefore</w:t>
      </w:r>
      <w:proofErr w:type="gramEnd"/>
      <w:r>
        <w:rPr>
          <w:rFonts w:ascii="Arial" w:eastAsia="Times New Roman" w:hAnsi="Arial" w:cs="Arial"/>
        </w:rPr>
        <w:t xml:space="preserve"> write your summary with this audience in mind, for example at the same level as an article in a newspaper.</w:t>
      </w:r>
      <w:r>
        <w:rPr>
          <w:rFonts w:ascii="Arial" w:eastAsia="Times New Roman" w:hAnsi="Arial" w:cs="Arial"/>
        </w:rPr>
        <w:br/>
      </w:r>
    </w:p>
    <w:p w14:paraId="34A70ED4" w14:textId="77777777" w:rsidR="0059787F" w:rsidRDefault="0059787F" w:rsidP="0059787F">
      <w:pPr>
        <w:rPr>
          <w:rFonts w:ascii="Arial" w:eastAsia="Times New Roman" w:hAnsi="Arial" w:cs="Arial"/>
        </w:rPr>
      </w:pPr>
      <w:r>
        <w:rPr>
          <w:rFonts w:ascii="Arial" w:eastAsia="Times New Roman" w:hAnsi="Arial" w:cs="Arial"/>
        </w:rPr>
        <w:t xml:space="preserve">There are a few simple rules for writing in plain English. In summary these are: </w:t>
      </w:r>
    </w:p>
    <w:p w14:paraId="07F0A653" w14:textId="77777777" w:rsidR="00F07BB6" w:rsidRDefault="00F07BB6" w:rsidP="0059787F">
      <w:pPr>
        <w:rPr>
          <w:rFonts w:ascii="Arial" w:eastAsia="Times New Roman" w:hAnsi="Arial" w:cs="Arial"/>
        </w:rPr>
      </w:pPr>
    </w:p>
    <w:p w14:paraId="36296052" w14:textId="77777777" w:rsidR="00F07BB6" w:rsidRDefault="00F07BB6" w:rsidP="0059787F">
      <w:pPr>
        <w:rPr>
          <w:rFonts w:ascii="Arial" w:eastAsia="Times New Roman" w:hAnsi="Arial" w:cs="Arial"/>
        </w:rPr>
      </w:pPr>
    </w:p>
    <w:p w14:paraId="6C60FD08" w14:textId="77777777" w:rsidR="00F07BB6" w:rsidRDefault="00F07BB6" w:rsidP="0059787F">
      <w:pPr>
        <w:rPr>
          <w:rFonts w:ascii="Arial" w:eastAsia="Times New Roman" w:hAnsi="Arial" w:cs="Arial"/>
        </w:rPr>
      </w:pPr>
    </w:p>
    <w:p w14:paraId="5FD8148A" w14:textId="77777777" w:rsidR="00F07BB6" w:rsidRDefault="00F07BB6" w:rsidP="0059787F">
      <w:pPr>
        <w:rPr>
          <w:rFonts w:ascii="Arial" w:eastAsia="Times New Roman" w:hAnsi="Arial" w:cs="Arial"/>
        </w:rPr>
      </w:pPr>
    </w:p>
    <w:p w14:paraId="7F98DCE7" w14:textId="77777777" w:rsidR="00F07BB6" w:rsidRDefault="00F07BB6" w:rsidP="0059787F">
      <w:pPr>
        <w:rPr>
          <w:rFonts w:ascii="Arial" w:eastAsia="Times New Roman" w:hAnsi="Arial" w:cs="Arial"/>
        </w:rPr>
      </w:pPr>
    </w:p>
    <w:p w14:paraId="265F83E7" w14:textId="77777777" w:rsidR="00F07BB6" w:rsidRDefault="00F07BB6" w:rsidP="0059787F">
      <w:pPr>
        <w:rPr>
          <w:rFonts w:ascii="Arial" w:eastAsia="Times New Roman" w:hAnsi="Arial" w:cs="Arial"/>
        </w:rPr>
      </w:pPr>
    </w:p>
    <w:p w14:paraId="395403AB" w14:textId="77777777" w:rsidR="00F07BB6" w:rsidRDefault="00F07BB6" w:rsidP="0059787F">
      <w:pPr>
        <w:rPr>
          <w:rFonts w:ascii="Arial" w:eastAsia="Times New Roman" w:hAnsi="Arial" w:cs="Arial"/>
        </w:rPr>
      </w:pPr>
    </w:p>
    <w:p w14:paraId="671D8D49" w14:textId="77777777" w:rsidR="00F07BB6" w:rsidRPr="00507196" w:rsidRDefault="00F07BB6" w:rsidP="0059787F">
      <w:pPr>
        <w:rPr>
          <w:rFonts w:ascii="Times New Roman" w:eastAsia="Times New Roman" w:hAnsi="Times New Roman" w:cs="Times New Roman"/>
        </w:rPr>
      </w:pPr>
    </w:p>
    <w:p w14:paraId="73C22560" w14:textId="77777777" w:rsidR="0059787F" w:rsidRPr="003457D8" w:rsidRDefault="0059787F" w:rsidP="0059787F">
      <w:pPr>
        <w:pStyle w:val="ListParagraph"/>
        <w:numPr>
          <w:ilvl w:val="0"/>
          <w:numId w:val="7"/>
        </w:numPr>
        <w:spacing w:before="100" w:beforeAutospacing="1" w:after="100" w:afterAutospacing="1"/>
        <w:contextualSpacing w:val="0"/>
      </w:pPr>
      <w:r>
        <w:rPr>
          <w:rFonts w:ascii="Arial" w:hAnsi="Arial" w:cs="Arial"/>
        </w:rPr>
        <w:t xml:space="preserve">Avoid wherever possible using jargon, abbreviations and technical terms. If you </w:t>
      </w:r>
      <w:proofErr w:type="gramStart"/>
      <w:r>
        <w:rPr>
          <w:rFonts w:ascii="Arial" w:hAnsi="Arial" w:cs="Arial"/>
        </w:rPr>
        <w:t>have to</w:t>
      </w:r>
      <w:proofErr w:type="gramEnd"/>
      <w:r>
        <w:rPr>
          <w:rFonts w:ascii="Arial" w:hAnsi="Arial" w:cs="Arial"/>
        </w:rPr>
        <w:t xml:space="preserve"> use them provide a clear explanation </w:t>
      </w:r>
    </w:p>
    <w:p w14:paraId="7A20B760" w14:textId="77777777" w:rsidR="0059787F" w:rsidRPr="003457D8" w:rsidRDefault="0059787F" w:rsidP="0059787F">
      <w:pPr>
        <w:pStyle w:val="ListParagraph"/>
        <w:numPr>
          <w:ilvl w:val="0"/>
          <w:numId w:val="7"/>
        </w:numPr>
        <w:spacing w:before="100" w:beforeAutospacing="1" w:after="100" w:afterAutospacing="1"/>
        <w:contextualSpacing w:val="0"/>
      </w:pPr>
      <w:r>
        <w:rPr>
          <w:rFonts w:ascii="Arial" w:hAnsi="Arial" w:cs="Arial"/>
        </w:rPr>
        <w:t xml:space="preserve">Avoid complicated English or uncommon words </w:t>
      </w:r>
    </w:p>
    <w:p w14:paraId="5427E678" w14:textId="77777777" w:rsidR="0059787F" w:rsidRPr="003457D8" w:rsidRDefault="0059787F" w:rsidP="0059787F">
      <w:pPr>
        <w:pStyle w:val="ListParagraph"/>
        <w:numPr>
          <w:ilvl w:val="0"/>
          <w:numId w:val="7"/>
        </w:numPr>
        <w:spacing w:before="100" w:beforeAutospacing="1" w:after="100" w:afterAutospacing="1"/>
        <w:contextualSpacing w:val="0"/>
      </w:pPr>
      <w:r>
        <w:rPr>
          <w:rFonts w:ascii="Arial" w:hAnsi="Arial" w:cs="Arial"/>
        </w:rPr>
        <w:t xml:space="preserve">Use active not passive phrases: for </w:t>
      </w:r>
      <w:proofErr w:type="gramStart"/>
      <w:r>
        <w:rPr>
          <w:rFonts w:ascii="Arial" w:hAnsi="Arial" w:cs="Arial"/>
        </w:rPr>
        <w:t>example</w:t>
      </w:r>
      <w:proofErr w:type="gramEnd"/>
      <w:r>
        <w:rPr>
          <w:rFonts w:ascii="Arial" w:hAnsi="Arial" w:cs="Arial"/>
        </w:rPr>
        <w:t xml:space="preserve"> say ‘we will do it’ rather than ‘it will be done by us’ </w:t>
      </w:r>
    </w:p>
    <w:p w14:paraId="19C16888" w14:textId="77777777" w:rsidR="0059787F" w:rsidRPr="003457D8" w:rsidRDefault="0059787F" w:rsidP="0059787F">
      <w:pPr>
        <w:pStyle w:val="ListParagraph"/>
        <w:numPr>
          <w:ilvl w:val="0"/>
          <w:numId w:val="7"/>
        </w:numPr>
        <w:spacing w:before="100" w:beforeAutospacing="1" w:after="100" w:afterAutospacing="1"/>
        <w:contextualSpacing w:val="0"/>
      </w:pPr>
      <w:r>
        <w:rPr>
          <w:rFonts w:ascii="Arial" w:hAnsi="Arial" w:cs="Arial"/>
        </w:rPr>
        <w:t xml:space="preserve">Keep sentences short </w:t>
      </w:r>
    </w:p>
    <w:p w14:paraId="2BD3E234" w14:textId="77777777" w:rsidR="0059787F" w:rsidRPr="003457D8" w:rsidRDefault="0059787F" w:rsidP="0059787F">
      <w:pPr>
        <w:pStyle w:val="ListParagraph"/>
        <w:numPr>
          <w:ilvl w:val="0"/>
          <w:numId w:val="7"/>
        </w:numPr>
        <w:spacing w:before="100" w:beforeAutospacing="1" w:after="100" w:afterAutospacing="1"/>
        <w:contextualSpacing w:val="0"/>
      </w:pPr>
      <w:r>
        <w:rPr>
          <w:rFonts w:ascii="Arial" w:hAnsi="Arial" w:cs="Arial"/>
        </w:rPr>
        <w:t xml:space="preserve">Think about the order and structure </w:t>
      </w:r>
    </w:p>
    <w:p w14:paraId="7A99B297" w14:textId="77777777" w:rsidR="0059787F" w:rsidRPr="003457D8" w:rsidRDefault="0059787F" w:rsidP="0059787F">
      <w:pPr>
        <w:pStyle w:val="ListParagraph"/>
        <w:numPr>
          <w:ilvl w:val="0"/>
          <w:numId w:val="7"/>
        </w:numPr>
        <w:spacing w:before="100" w:beforeAutospacing="1" w:after="100" w:afterAutospacing="1"/>
        <w:contextualSpacing w:val="0"/>
      </w:pPr>
      <w:r>
        <w:rPr>
          <w:rFonts w:ascii="Arial" w:hAnsi="Arial" w:cs="Arial"/>
        </w:rPr>
        <w:t xml:space="preserve">Break up the text. For </w:t>
      </w:r>
      <w:proofErr w:type="gramStart"/>
      <w:r>
        <w:rPr>
          <w:rFonts w:ascii="Arial" w:hAnsi="Arial" w:cs="Arial"/>
        </w:rPr>
        <w:t>example</w:t>
      </w:r>
      <w:proofErr w:type="gramEnd"/>
      <w:r>
        <w:rPr>
          <w:rFonts w:ascii="Arial" w:hAnsi="Arial" w:cs="Arial"/>
        </w:rPr>
        <w:t xml:space="preserve"> use bullet lists </w:t>
      </w:r>
    </w:p>
    <w:p w14:paraId="7565328E" w14:textId="77777777" w:rsidR="0059787F" w:rsidRPr="003457D8" w:rsidRDefault="0059787F" w:rsidP="0059787F">
      <w:pPr>
        <w:pStyle w:val="ListParagraph"/>
        <w:numPr>
          <w:ilvl w:val="0"/>
          <w:numId w:val="7"/>
        </w:numPr>
        <w:spacing w:before="100" w:beforeAutospacing="1" w:after="100" w:afterAutospacing="1"/>
        <w:contextualSpacing w:val="0"/>
      </w:pPr>
      <w:r>
        <w:rPr>
          <w:rFonts w:ascii="Arial" w:hAnsi="Arial" w:cs="Arial"/>
        </w:rPr>
        <w:t xml:space="preserve">Ask patients / carers / colleagues to read a draft to find out if anything is unclear. </w:t>
      </w:r>
    </w:p>
    <w:p w14:paraId="46515A69" w14:textId="77777777" w:rsidR="00274E5C" w:rsidRDefault="00274E5C" w:rsidP="0059787F">
      <w:pPr>
        <w:spacing w:before="100" w:beforeAutospacing="1" w:after="100" w:afterAutospacing="1"/>
        <w:rPr>
          <w:rFonts w:ascii="Arial" w:eastAsia="Times New Roman" w:hAnsi="Arial" w:cs="Arial"/>
        </w:rPr>
      </w:pPr>
    </w:p>
    <w:p w14:paraId="3A064C7B" w14:textId="77777777" w:rsidR="00274E5C" w:rsidRDefault="00274E5C" w:rsidP="0059787F">
      <w:pPr>
        <w:spacing w:before="100" w:beforeAutospacing="1" w:after="100" w:afterAutospacing="1"/>
        <w:rPr>
          <w:rFonts w:ascii="Arial" w:eastAsia="Times New Roman" w:hAnsi="Arial" w:cs="Arial"/>
        </w:rPr>
      </w:pPr>
    </w:p>
    <w:p w14:paraId="1EB0D876" w14:textId="77777777" w:rsidR="00DA5726" w:rsidRDefault="0059787F" w:rsidP="0059787F">
      <w:pPr>
        <w:spacing w:before="100" w:beforeAutospacing="1" w:after="100" w:afterAutospacing="1"/>
        <w:rPr>
          <w:rFonts w:ascii="Arial" w:eastAsia="Times New Roman" w:hAnsi="Arial" w:cs="Arial"/>
        </w:rPr>
      </w:pPr>
      <w:r>
        <w:rPr>
          <w:rFonts w:ascii="Arial" w:eastAsia="Times New Roman" w:hAnsi="Arial" w:cs="Arial"/>
        </w:rPr>
        <w:t>The plain English summary is not the same as a scientific abstract. Please do not cut and paste this or other sections of your final report to create the plain English summary. Further guidance on plain English summaries for research is available at:</w:t>
      </w:r>
    </w:p>
    <w:p w14:paraId="016CEF2D" w14:textId="77777777" w:rsidR="00DA5726" w:rsidRDefault="00DA5726" w:rsidP="00DA5726">
      <w:pPr>
        <w:pStyle w:val="ListParagraph"/>
        <w:numPr>
          <w:ilvl w:val="0"/>
          <w:numId w:val="10"/>
        </w:numPr>
        <w:rPr>
          <w:rFonts w:ascii="Arial" w:eastAsia="Times New Roman" w:hAnsi="Arial" w:cs="Arial"/>
          <w:b/>
        </w:rPr>
      </w:pPr>
      <w:hyperlink r:id="rId12" w:history="1">
        <w:r>
          <w:rPr>
            <w:rStyle w:val="Hyperlink"/>
            <w:rFonts w:ascii="Arial" w:eastAsia="Times New Roman" w:hAnsi="Arial" w:cs="Arial"/>
            <w:b/>
          </w:rPr>
          <w:t>www.amrc.org.uk/blog/how-to-write-a-lay-summary-of-a-research-project</w:t>
        </w:r>
      </w:hyperlink>
    </w:p>
    <w:p w14:paraId="4B204FB0" w14:textId="77777777" w:rsidR="00DA5726" w:rsidRPr="00DA5726" w:rsidRDefault="00DA5726" w:rsidP="00DA5726">
      <w:pPr>
        <w:pStyle w:val="ListParagraph"/>
        <w:rPr>
          <w:rFonts w:ascii="Arial" w:eastAsia="Times New Roman" w:hAnsi="Arial" w:cs="Arial"/>
          <w:b/>
        </w:rPr>
      </w:pPr>
    </w:p>
    <w:p w14:paraId="319DF193" w14:textId="77777777" w:rsidR="00DA5726" w:rsidRPr="00DA5726" w:rsidRDefault="00DA5726" w:rsidP="00DA5726">
      <w:pPr>
        <w:pStyle w:val="ListParagraph"/>
        <w:numPr>
          <w:ilvl w:val="0"/>
          <w:numId w:val="10"/>
        </w:numPr>
        <w:rPr>
          <w:rFonts w:ascii="Arial" w:eastAsia="Times New Roman" w:hAnsi="Arial" w:cs="Arial"/>
        </w:rPr>
      </w:pPr>
      <w:hyperlink r:id="rId13" w:history="1">
        <w:r>
          <w:rPr>
            <w:rStyle w:val="Hyperlink"/>
            <w:rFonts w:ascii="Arial" w:eastAsia="Times New Roman" w:hAnsi="Arial" w:cs="Arial"/>
            <w:b/>
          </w:rPr>
          <w:t>www.cancerresearchuk.org/funding-for-researchers/patient-involvement-toolkit-for-researchers/planning-your-patient-involvement/writing-for-a-lay-audience</w:t>
        </w:r>
      </w:hyperlink>
    </w:p>
    <w:p w14:paraId="13496328" w14:textId="77777777" w:rsidR="00274E5C" w:rsidRDefault="00274E5C" w:rsidP="0059787F">
      <w:pPr>
        <w:spacing w:before="100" w:beforeAutospacing="1" w:after="100" w:afterAutospacing="1"/>
        <w:jc w:val="center"/>
        <w:rPr>
          <w:rFonts w:ascii="Arial" w:eastAsia="Times New Roman" w:hAnsi="Arial" w:cs="Arial"/>
        </w:rPr>
      </w:pPr>
    </w:p>
    <w:p w14:paraId="016DA557" w14:textId="77777777" w:rsidR="00274E5C" w:rsidRDefault="00274E5C" w:rsidP="0059787F">
      <w:pPr>
        <w:spacing w:before="100" w:beforeAutospacing="1" w:after="100" w:afterAutospacing="1"/>
        <w:jc w:val="center"/>
        <w:rPr>
          <w:rFonts w:ascii="Arial" w:eastAsia="Times New Roman" w:hAnsi="Arial" w:cs="Arial"/>
        </w:rPr>
      </w:pPr>
    </w:p>
    <w:p w14:paraId="666CA9BC" w14:textId="77777777" w:rsidR="0059787F" w:rsidRDefault="0059787F" w:rsidP="0059787F">
      <w:pPr>
        <w:spacing w:before="100" w:beforeAutospacing="1" w:after="100" w:afterAutospacing="1"/>
        <w:jc w:val="center"/>
        <w:rPr>
          <w:rFonts w:ascii="Arial" w:eastAsia="Times New Roman" w:hAnsi="Arial" w:cs="Arial"/>
        </w:rPr>
      </w:pPr>
      <w:r>
        <w:rPr>
          <w:rFonts w:ascii="Arial" w:eastAsia="SimSun" w:hAnsi="Arial" w:cs="Arial"/>
          <w:noProof/>
          <w:lang w:val="en-US"/>
        </w:rPr>
        <w:drawing>
          <wp:inline distT="0" distB="0" distL="0" distR="0" wp14:anchorId="3CA82953" wp14:editId="1A46270D">
            <wp:extent cx="1847215" cy="841375"/>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47215" cy="841375"/>
                    </a:xfrm>
                    <a:prstGeom prst="rect">
                      <a:avLst/>
                    </a:prstGeom>
                    <a:noFill/>
                  </pic:spPr>
                </pic:pic>
              </a:graphicData>
            </a:graphic>
          </wp:inline>
        </w:drawing>
      </w:r>
    </w:p>
    <w:p w14:paraId="71B874CD" w14:textId="77777777" w:rsidR="0059787F" w:rsidRDefault="0059787F" w:rsidP="00A12699">
      <w:pPr>
        <w:rPr>
          <w:rFonts w:ascii="Arial" w:hAnsi="Arial" w:cs="Arial"/>
        </w:rPr>
      </w:pPr>
    </w:p>
    <w:p w14:paraId="4C65CA2B" w14:textId="77777777" w:rsidR="00274E5C" w:rsidRDefault="00274E5C" w:rsidP="00A12699">
      <w:pPr>
        <w:rPr>
          <w:rFonts w:ascii="Arial" w:hAnsi="Arial" w:cs="Arial"/>
        </w:rPr>
      </w:pPr>
    </w:p>
    <w:p w14:paraId="7809AA76" w14:textId="77777777" w:rsidR="00274E5C" w:rsidRDefault="00274E5C" w:rsidP="00A12699">
      <w:pPr>
        <w:rPr>
          <w:rFonts w:ascii="Arial" w:hAnsi="Arial" w:cs="Arial"/>
        </w:rPr>
      </w:pPr>
    </w:p>
    <w:p w14:paraId="25DD5EB7" w14:textId="77777777" w:rsidR="00274E5C" w:rsidRDefault="00274E5C" w:rsidP="00A12699">
      <w:pPr>
        <w:rPr>
          <w:rFonts w:ascii="Arial" w:hAnsi="Arial" w:cs="Arial"/>
        </w:rPr>
      </w:pPr>
    </w:p>
    <w:p w14:paraId="388750E6" w14:textId="77777777" w:rsidR="00274E5C" w:rsidRPr="00A12699" w:rsidRDefault="00274E5C" w:rsidP="00A12699">
      <w:pPr>
        <w:rPr>
          <w:rFonts w:ascii="Arial" w:hAnsi="Arial" w:cs="Arial"/>
        </w:rPr>
      </w:pPr>
    </w:p>
    <w:sectPr w:rsidR="00274E5C" w:rsidRPr="00A12699" w:rsidSect="00883F75">
      <w:headerReference w:type="even" r:id="rId15"/>
      <w:headerReference w:type="default" r:id="rId16"/>
      <w:footerReference w:type="even" r:id="rId17"/>
      <w:footerReference w:type="default" r:id="rId18"/>
      <w:headerReference w:type="first" r:id="rId19"/>
      <w:footerReference w:type="first" r:id="rId2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CAE9D" w14:textId="77777777" w:rsidR="004D59CA" w:rsidRDefault="004D59CA" w:rsidP="00AC0181">
      <w:r>
        <w:separator/>
      </w:r>
    </w:p>
  </w:endnote>
  <w:endnote w:type="continuationSeparator" w:id="0">
    <w:p w14:paraId="1043B9AE" w14:textId="77777777" w:rsidR="004D59CA" w:rsidRDefault="004D59CA" w:rsidP="00AC0181">
      <w:r>
        <w:continuationSeparator/>
      </w:r>
    </w:p>
  </w:endnote>
  <w:endnote w:id="1">
    <w:p w14:paraId="53EB6828" w14:textId="77777777" w:rsidR="0059787F" w:rsidRDefault="0059787F" w:rsidP="0059787F">
      <w:pPr>
        <w:pStyle w:val="EndnoteText"/>
      </w:pPr>
      <w:r>
        <w:rPr>
          <w:rStyle w:val="EndnoteReference"/>
        </w:rPr>
        <w:endnoteRef/>
      </w:r>
      <w:r>
        <w:t xml:space="preserve"> Based on the NIHR guidance available at </w:t>
      </w:r>
      <w:hyperlink r:id="rId1" w:history="1">
        <w:r w:rsidRPr="005644F5">
          <w:rPr>
            <w:rStyle w:val="Hyperlink"/>
          </w:rPr>
          <w:t>https://www.nihr.ac.uk/about-us/CCF/PPI/Plain_English_summaries_in_National_Institute_for_Health_Research_funded_research.pdf</w:t>
        </w:r>
      </w:hyperlink>
      <w:r>
        <w:t xml:space="preserve"> </w:t>
      </w:r>
    </w:p>
    <w:p w14:paraId="0907A385" w14:textId="77777777" w:rsidR="0059787F" w:rsidRDefault="0059787F" w:rsidP="0059787F">
      <w:pPr>
        <w:pStyle w:val="EndnoteText"/>
        <w:jc w:val="cen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D74A5" w14:textId="77777777" w:rsidR="006911C7" w:rsidRDefault="006911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DC7E9" w14:textId="77777777" w:rsidR="006911C7" w:rsidRDefault="006911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628ED" w14:textId="77777777" w:rsidR="006911C7" w:rsidRDefault="006911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A48D1" w14:textId="77777777" w:rsidR="004D59CA" w:rsidRDefault="004D59CA" w:rsidP="00AC0181">
      <w:r>
        <w:separator/>
      </w:r>
    </w:p>
  </w:footnote>
  <w:footnote w:type="continuationSeparator" w:id="0">
    <w:p w14:paraId="6FAB634F" w14:textId="77777777" w:rsidR="004D59CA" w:rsidRDefault="004D59CA" w:rsidP="00AC01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74E38" w14:textId="77777777" w:rsidR="006911C7" w:rsidRDefault="006911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0C177" w14:textId="77777777" w:rsidR="00EB6A7C" w:rsidRDefault="00EB6A7C" w:rsidP="00EB6A7C">
    <w:pPr>
      <w:pStyle w:val="Header"/>
      <w:jc w:val="right"/>
    </w:pPr>
    <w:r>
      <w:rPr>
        <w:noProof/>
        <w:lang w:val="en-US"/>
      </w:rPr>
      <w:drawing>
        <wp:inline distT="0" distB="0" distL="0" distR="0" wp14:anchorId="6722F18E" wp14:editId="2AC8D609">
          <wp:extent cx="1381125" cy="9144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91440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6CE87" w14:textId="77777777" w:rsidR="006911C7" w:rsidRDefault="006911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4FAA"/>
    <w:multiLevelType w:val="hybridMultilevel"/>
    <w:tmpl w:val="E91C66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6A7A6D"/>
    <w:multiLevelType w:val="hybridMultilevel"/>
    <w:tmpl w:val="07AC94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9603B21"/>
    <w:multiLevelType w:val="hybridMultilevel"/>
    <w:tmpl w:val="50484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2070FC"/>
    <w:multiLevelType w:val="hybridMultilevel"/>
    <w:tmpl w:val="7764B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B77AEC"/>
    <w:multiLevelType w:val="hybridMultilevel"/>
    <w:tmpl w:val="A1B4E7A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BA90847"/>
    <w:multiLevelType w:val="hybridMultilevel"/>
    <w:tmpl w:val="5544A04E"/>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1115DFA"/>
    <w:multiLevelType w:val="hybridMultilevel"/>
    <w:tmpl w:val="F8241B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B431E02"/>
    <w:multiLevelType w:val="hybridMultilevel"/>
    <w:tmpl w:val="B59A803E"/>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D363270"/>
    <w:multiLevelType w:val="hybridMultilevel"/>
    <w:tmpl w:val="60667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9F6CCA"/>
    <w:multiLevelType w:val="hybridMultilevel"/>
    <w:tmpl w:val="C4128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6901902">
    <w:abstractNumId w:val="7"/>
  </w:num>
  <w:num w:numId="2" w16cid:durableId="162479160">
    <w:abstractNumId w:val="2"/>
  </w:num>
  <w:num w:numId="3" w16cid:durableId="229925557">
    <w:abstractNumId w:val="1"/>
  </w:num>
  <w:num w:numId="4" w16cid:durableId="872813916">
    <w:abstractNumId w:val="6"/>
  </w:num>
  <w:num w:numId="5" w16cid:durableId="2112700697">
    <w:abstractNumId w:val="0"/>
  </w:num>
  <w:num w:numId="6" w16cid:durableId="1675305691">
    <w:abstractNumId w:val="4"/>
  </w:num>
  <w:num w:numId="7" w16cid:durableId="1763650144">
    <w:abstractNumId w:val="5"/>
  </w:num>
  <w:num w:numId="8" w16cid:durableId="223375378">
    <w:abstractNumId w:val="3"/>
  </w:num>
  <w:num w:numId="9" w16cid:durableId="915631251">
    <w:abstractNumId w:val="8"/>
  </w:num>
  <w:num w:numId="10" w16cid:durableId="8464821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F75"/>
    <w:rsid w:val="00033522"/>
    <w:rsid w:val="000B5DD1"/>
    <w:rsid w:val="000B6FC8"/>
    <w:rsid w:val="00107EE5"/>
    <w:rsid w:val="0013417D"/>
    <w:rsid w:val="001555E4"/>
    <w:rsid w:val="001675B9"/>
    <w:rsid w:val="00185791"/>
    <w:rsid w:val="00274E5C"/>
    <w:rsid w:val="002A4692"/>
    <w:rsid w:val="002A6DA9"/>
    <w:rsid w:val="0041182A"/>
    <w:rsid w:val="00422C01"/>
    <w:rsid w:val="00457115"/>
    <w:rsid w:val="004808A4"/>
    <w:rsid w:val="004A226C"/>
    <w:rsid w:val="004D59CA"/>
    <w:rsid w:val="004F7C90"/>
    <w:rsid w:val="005928E4"/>
    <w:rsid w:val="0059787F"/>
    <w:rsid w:val="005D0B48"/>
    <w:rsid w:val="00676802"/>
    <w:rsid w:val="006911C7"/>
    <w:rsid w:val="006B4CC1"/>
    <w:rsid w:val="006D6AEF"/>
    <w:rsid w:val="007053C8"/>
    <w:rsid w:val="0073756D"/>
    <w:rsid w:val="007F6A34"/>
    <w:rsid w:val="008001FF"/>
    <w:rsid w:val="008408D6"/>
    <w:rsid w:val="00883F75"/>
    <w:rsid w:val="008A0ACE"/>
    <w:rsid w:val="008D3B7A"/>
    <w:rsid w:val="008E4CC0"/>
    <w:rsid w:val="00922A4F"/>
    <w:rsid w:val="00985D77"/>
    <w:rsid w:val="00990D2A"/>
    <w:rsid w:val="009B1C0E"/>
    <w:rsid w:val="00A12699"/>
    <w:rsid w:val="00A251A0"/>
    <w:rsid w:val="00A51B94"/>
    <w:rsid w:val="00A736A2"/>
    <w:rsid w:val="00A85D31"/>
    <w:rsid w:val="00AC0181"/>
    <w:rsid w:val="00AD4291"/>
    <w:rsid w:val="00AF750E"/>
    <w:rsid w:val="00B363F2"/>
    <w:rsid w:val="00B4563D"/>
    <w:rsid w:val="00BE7D78"/>
    <w:rsid w:val="00C17B0B"/>
    <w:rsid w:val="00C50DDC"/>
    <w:rsid w:val="00C57BD8"/>
    <w:rsid w:val="00CA32DE"/>
    <w:rsid w:val="00D24B96"/>
    <w:rsid w:val="00D357BC"/>
    <w:rsid w:val="00DA5726"/>
    <w:rsid w:val="00DD542E"/>
    <w:rsid w:val="00E169FA"/>
    <w:rsid w:val="00E25632"/>
    <w:rsid w:val="00EA2FCB"/>
    <w:rsid w:val="00EB6A7C"/>
    <w:rsid w:val="00EF023A"/>
    <w:rsid w:val="00F07BB6"/>
    <w:rsid w:val="00F22579"/>
    <w:rsid w:val="00FC5868"/>
    <w:rsid w:val="00FE0D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FBDF9"/>
  <w15:chartTrackingRefBased/>
  <w15:docId w15:val="{5B03DF84-D7B1-49B7-B398-3EC6DDF06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83F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83F75"/>
    <w:rPr>
      <w:color w:val="0563C1" w:themeColor="hyperlink"/>
      <w:u w:val="single"/>
    </w:rPr>
  </w:style>
  <w:style w:type="paragraph" w:styleId="ListParagraph">
    <w:name w:val="List Paragraph"/>
    <w:basedOn w:val="Normal"/>
    <w:uiPriority w:val="34"/>
    <w:qFormat/>
    <w:rsid w:val="00883F75"/>
    <w:pPr>
      <w:ind w:left="720"/>
      <w:contextualSpacing/>
    </w:pPr>
  </w:style>
  <w:style w:type="paragraph" w:styleId="Header">
    <w:name w:val="header"/>
    <w:basedOn w:val="Normal"/>
    <w:link w:val="HeaderChar"/>
    <w:uiPriority w:val="99"/>
    <w:unhideWhenUsed/>
    <w:rsid w:val="00AC0181"/>
    <w:pPr>
      <w:tabs>
        <w:tab w:val="center" w:pos="4513"/>
        <w:tab w:val="right" w:pos="9026"/>
      </w:tabs>
    </w:pPr>
  </w:style>
  <w:style w:type="character" w:customStyle="1" w:styleId="HeaderChar">
    <w:name w:val="Header Char"/>
    <w:basedOn w:val="DefaultParagraphFont"/>
    <w:link w:val="Header"/>
    <w:uiPriority w:val="99"/>
    <w:rsid w:val="00AC0181"/>
  </w:style>
  <w:style w:type="paragraph" w:styleId="Footer">
    <w:name w:val="footer"/>
    <w:basedOn w:val="Normal"/>
    <w:link w:val="FooterChar"/>
    <w:uiPriority w:val="99"/>
    <w:unhideWhenUsed/>
    <w:rsid w:val="00AC0181"/>
    <w:pPr>
      <w:tabs>
        <w:tab w:val="center" w:pos="4513"/>
        <w:tab w:val="right" w:pos="9026"/>
      </w:tabs>
    </w:pPr>
  </w:style>
  <w:style w:type="character" w:customStyle="1" w:styleId="FooterChar">
    <w:name w:val="Footer Char"/>
    <w:basedOn w:val="DefaultParagraphFont"/>
    <w:link w:val="Footer"/>
    <w:uiPriority w:val="99"/>
    <w:rsid w:val="00AC0181"/>
  </w:style>
  <w:style w:type="paragraph" w:styleId="EndnoteText">
    <w:name w:val="endnote text"/>
    <w:basedOn w:val="Normal"/>
    <w:link w:val="EndnoteTextChar"/>
    <w:uiPriority w:val="99"/>
    <w:semiHidden/>
    <w:unhideWhenUsed/>
    <w:rsid w:val="0059787F"/>
    <w:rPr>
      <w:sz w:val="20"/>
      <w:szCs w:val="20"/>
    </w:rPr>
  </w:style>
  <w:style w:type="character" w:customStyle="1" w:styleId="EndnoteTextChar">
    <w:name w:val="Endnote Text Char"/>
    <w:basedOn w:val="DefaultParagraphFont"/>
    <w:link w:val="EndnoteText"/>
    <w:uiPriority w:val="99"/>
    <w:semiHidden/>
    <w:rsid w:val="0059787F"/>
    <w:rPr>
      <w:sz w:val="20"/>
      <w:szCs w:val="20"/>
    </w:rPr>
  </w:style>
  <w:style w:type="character" w:styleId="EndnoteReference">
    <w:name w:val="endnote reference"/>
    <w:basedOn w:val="DefaultParagraphFont"/>
    <w:uiPriority w:val="99"/>
    <w:semiHidden/>
    <w:unhideWhenUsed/>
    <w:rsid w:val="0059787F"/>
    <w:rPr>
      <w:vertAlign w:val="superscript"/>
    </w:rPr>
  </w:style>
  <w:style w:type="character" w:styleId="CommentReference">
    <w:name w:val="annotation reference"/>
    <w:basedOn w:val="DefaultParagraphFont"/>
    <w:uiPriority w:val="99"/>
    <w:semiHidden/>
    <w:unhideWhenUsed/>
    <w:rsid w:val="000B6FC8"/>
    <w:rPr>
      <w:sz w:val="16"/>
      <w:szCs w:val="16"/>
    </w:rPr>
  </w:style>
  <w:style w:type="paragraph" w:styleId="CommentText">
    <w:name w:val="annotation text"/>
    <w:basedOn w:val="Normal"/>
    <w:link w:val="CommentTextChar"/>
    <w:uiPriority w:val="99"/>
    <w:unhideWhenUsed/>
    <w:rsid w:val="000B6FC8"/>
    <w:rPr>
      <w:sz w:val="20"/>
      <w:szCs w:val="20"/>
    </w:rPr>
  </w:style>
  <w:style w:type="character" w:customStyle="1" w:styleId="CommentTextChar">
    <w:name w:val="Comment Text Char"/>
    <w:basedOn w:val="DefaultParagraphFont"/>
    <w:link w:val="CommentText"/>
    <w:uiPriority w:val="99"/>
    <w:rsid w:val="000B6FC8"/>
    <w:rPr>
      <w:sz w:val="20"/>
      <w:szCs w:val="20"/>
    </w:rPr>
  </w:style>
  <w:style w:type="paragraph" w:styleId="CommentSubject">
    <w:name w:val="annotation subject"/>
    <w:basedOn w:val="CommentText"/>
    <w:next w:val="CommentText"/>
    <w:link w:val="CommentSubjectChar"/>
    <w:uiPriority w:val="99"/>
    <w:semiHidden/>
    <w:unhideWhenUsed/>
    <w:rsid w:val="000B6FC8"/>
    <w:rPr>
      <w:b/>
      <w:bCs/>
    </w:rPr>
  </w:style>
  <w:style w:type="character" w:customStyle="1" w:styleId="CommentSubjectChar">
    <w:name w:val="Comment Subject Char"/>
    <w:basedOn w:val="CommentTextChar"/>
    <w:link w:val="CommentSubject"/>
    <w:uiPriority w:val="99"/>
    <w:semiHidden/>
    <w:rsid w:val="000B6FC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10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ancerresearchuk.org/funding-for-researchers/patient-involvement-toolkit-for-researchers/planning-your-patient-involvement/writing-for-a-lay-audienc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amrc.org.uk/blog/how-to-write-a-lay-summary-of-a-research-projec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tra.maxwell@chect.org.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https://www.nihr.ac.uk/about-us/CCF/PPI/Plain_English_summaries_in_National_Institute_for_Health_Research_funded_research.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Chect Team" ma:contentTypeID="0x01010042495B0BFEA3824EBB8B2B5E0DBA120201005066D60CF0773E4E898BC10767016031" ma:contentTypeVersion="4" ma:contentTypeDescription="Used in lib in Chect Team site" ma:contentTypeScope="" ma:versionID="bb030ed813014620e3917bcbcdfc47e6">
  <xsd:schema xmlns:xsd="http://www.w3.org/2001/XMLSchema" xmlns:xs="http://www.w3.org/2001/XMLSchema" xmlns:p="http://schemas.microsoft.com/office/2006/metadata/properties" targetNamespace="http://schemas.microsoft.com/office/2006/metadata/properties" ma:root="true" ma:fieldsID="3dda1cee0cbd0b9530bc824ecb297d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fcf5c4a8-d3d8-4ba8-a9fa-37f7a65804ff" ContentTypeId="0x01010042495B0BFEA3824EBB8B2B5E0DBA120201" PreviousValue="false" LastSyncTimeStamp="2023-02-15T22:11:48.517Z"/>
</file>

<file path=customXml/itemProps1.xml><?xml version="1.0" encoding="utf-8"?>
<ds:datastoreItem xmlns:ds="http://schemas.openxmlformats.org/officeDocument/2006/customXml" ds:itemID="{611FDEDA-ED8E-4620-BC60-2B8759AE135F}">
  <ds:schemaRefs>
    <ds:schemaRef ds:uri="http://schemas.microsoft.com/sharepoint/v3/contenttype/forms"/>
  </ds:schemaRefs>
</ds:datastoreItem>
</file>

<file path=customXml/itemProps2.xml><?xml version="1.0" encoding="utf-8"?>
<ds:datastoreItem xmlns:ds="http://schemas.openxmlformats.org/officeDocument/2006/customXml" ds:itemID="{16A31748-6B1A-4D05-B179-3D2D003F9A7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0EA521B-F1E1-490A-B6E9-0D9FB3FA38A5}"/>
</file>

<file path=customXml/itemProps4.xml><?xml version="1.0" encoding="utf-8"?>
<ds:datastoreItem xmlns:ds="http://schemas.openxmlformats.org/officeDocument/2006/customXml" ds:itemID="{CBB4534D-955A-4E70-989D-AE83706CA2BB}">
  <ds:schemaRefs>
    <ds:schemaRef ds:uri="Microsoft.SharePoint.Taxonomy.ContentTypeSync"/>
  </ds:schemaRefs>
</ds:datastoreItem>
</file>

<file path=docMetadata/LabelInfo.xml><?xml version="1.0" encoding="utf-8"?>
<clbl:labelList xmlns:clbl="http://schemas.microsoft.com/office/2020/mipLabelMetadata">
  <clbl:label id="{ce62531d-b665-4aae-a175-0ab5141c19da}" enabled="0" method="" siteId="{ce62531d-b665-4aae-a175-0ab5141c19da}"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2846</Words>
  <Characters>16224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19032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Gamble, Ashley S.</dc:creator>
  <cp:keywords/>
  <dc:description/>
  <cp:lastModifiedBy>Petra Maxwell</cp:lastModifiedBy>
  <cp:revision>2</cp:revision>
  <dcterms:created xsi:type="dcterms:W3CDTF">2026-08-25T10:30:00Z</dcterms:created>
  <dcterms:modified xsi:type="dcterms:W3CDTF">2026-08-25T10:30:00Z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0x01010042495B0BFEA3824EBB8B2B5E0DBA120201005066D60CF0773E4E898BC10767016031</vt:lpwstr>
  </property>
  <property fmtid="{D5CDD505-2E9C-101B-9397-08002B2CF9AE}" pid="3" name="Order">
    <vt:r8>3021400</vt:r8>
  </property>
</Properties>
</file>